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91295" w14:textId="77777777" w:rsidR="002349D1" w:rsidRDefault="00000000">
      <w:pPr>
        <w:spacing w:after="120"/>
        <w:jc w:val="center"/>
      </w:pPr>
      <w:r>
        <w:rPr>
          <w:b/>
          <w:bCs/>
          <w:sz w:val="32"/>
          <w:szCs w:val="32"/>
        </w:rPr>
        <w:t>Hear, O Israel</w:t>
      </w:r>
    </w:p>
    <w:p w14:paraId="26BAB499" w14:textId="77777777" w:rsidR="002349D1" w:rsidRDefault="00000000">
      <w:pPr>
        <w:spacing w:after="240"/>
        <w:jc w:val="center"/>
      </w:pPr>
      <w:r>
        <w:rPr>
          <w:sz w:val="28"/>
          <w:szCs w:val="28"/>
        </w:rPr>
        <w:t>The Shema, Covenant Loyalty, and the Logic of the Trinity</w:t>
      </w:r>
    </w:p>
    <w:p w14:paraId="63AF1C95" w14:textId="77777777" w:rsidR="002349D1" w:rsidRDefault="00000000">
      <w:pPr>
        <w:spacing w:after="360"/>
        <w:jc w:val="center"/>
      </w:pPr>
      <w:r>
        <w:rPr>
          <w:i/>
          <w:iCs/>
        </w:rPr>
        <w:t>Dan Williams</w:t>
      </w:r>
    </w:p>
    <w:p w14:paraId="4FE87983" w14:textId="77777777" w:rsidR="002349D1" w:rsidRDefault="00000000">
      <w:pPr>
        <w:pStyle w:val="Heading1"/>
        <w:spacing w:before="360" w:after="200"/>
      </w:pPr>
      <w:r>
        <w:t>Abstract</w:t>
      </w:r>
    </w:p>
    <w:p w14:paraId="248A7A52" w14:textId="17800597" w:rsidR="002349D1" w:rsidRDefault="00000000" w:rsidP="004F1E4B">
      <w:pPr>
        <w:spacing w:after="160"/>
      </w:pPr>
      <w:r>
        <w:t xml:space="preserve">This essay explores a possibility rather than defending a settled conclusion. It asks whether Deuteronomy 6:4 might be read primarily as a confession of exclusive covenant loyalty to YHWH rather than as a metaphysical statement about </w:t>
      </w:r>
      <w:r w:rsidR="00940737">
        <w:t>God's internal constitution</w:t>
      </w:r>
      <w:r>
        <w:t>, and what would follow for the doctrine of the Trinity if it were. The essay suggests that such a reading, if sound, would loosen the exegetical pressure that drives much of the logical problem of the Trinity. That in turn might allow the theologian to use conceptualist tools at the level of language and predication without adopting a conceptualist metaphysic that reduces the divine persons to distinctions of reason. The proposal is offered tentatively, with attention to the texts that resist it and the objections it invites.</w:t>
      </w:r>
    </w:p>
    <w:p w14:paraId="6F836C8F" w14:textId="77777777" w:rsidR="002349D1" w:rsidRDefault="00000000">
      <w:pPr>
        <w:pStyle w:val="Heading1"/>
        <w:spacing w:before="360" w:after="200"/>
      </w:pPr>
      <w:r>
        <w:t>I. Introduction</w:t>
      </w:r>
    </w:p>
    <w:p w14:paraId="1FE8A2D0" w14:textId="77777777" w:rsidR="002349D1" w:rsidRDefault="00000000">
      <w:pPr>
        <w:spacing w:after="160" w:line="360" w:lineRule="auto"/>
        <w:ind w:firstLine="720"/>
      </w:pPr>
      <w:r>
        <w:t>Few verses carry as much theological weight as Deuteronomy 6:4. Recited morning and evening in Jewish devotion, cited by Jesus as the beginning of the greatest commandment, and reworked by Paul in his first letter to Corinth, the Shema stands near the center of any discussion of how the God of Israel can be confessed as Father, Son, and Holy Spirit. For many who question the doctrine of the Trinity, the verse appears to settle the matter before the discussion begins. If "the LORD is one," then talk of three divine persons seems difficult to reconcile with Israel's foundational confession.</w:t>
      </w:r>
    </w:p>
    <w:p w14:paraId="3ABAB897" w14:textId="77777777" w:rsidR="002349D1" w:rsidRDefault="00000000">
      <w:pPr>
        <w:spacing w:after="160" w:line="360" w:lineRule="auto"/>
        <w:ind w:firstLine="720"/>
      </w:pPr>
      <w:r>
        <w:t xml:space="preserve">That conclusion, however, rests on a particular reading of the verse. It assumes that the Shema makes a claim about the internal constitution of God, a claim about how many divine beings or centers of personal life there are. Several Old Testament scholars have questioned whether the verse was ever meant to answer that question. Daniel Block argues that the verse may be best rendered "Our God is YHWH, YHWH alone," a </w:t>
      </w:r>
      <w:r>
        <w:lastRenderedPageBreak/>
        <w:t>confession of exclusive allegiance rather than a statement about the divine essence.</w:t>
      </w:r>
      <w:r>
        <w:rPr>
          <w:rStyle w:val="FootnoteReference"/>
        </w:rPr>
        <w:footnoteReference w:id="1"/>
      </w:r>
      <w:r>
        <w:t xml:space="preserve"> Nathan MacDonald suggests that the modern category of "monotheism" fits Deuteronomy poorly, since the book seems concerned less with counting gods than with Israel's undivided devotion to the God who redeemed them.</w:t>
      </w:r>
      <w:r>
        <w:rPr>
          <w:rStyle w:val="FootnoteReference"/>
        </w:rPr>
        <w:footnoteReference w:id="2"/>
      </w:r>
      <w:r>
        <w:t xml:space="preserve"> R. W. L. Moberly reaches a related conclusion from the syntax and context of the verse.</w:t>
      </w:r>
      <w:r>
        <w:rPr>
          <w:rStyle w:val="FootnoteReference"/>
        </w:rPr>
        <w:footnoteReference w:id="3"/>
      </w:r>
      <w:r>
        <w:t xml:space="preserve"> On this reading, the oneness of YHWH is first of all the oneness of a covenant partner who will tolerate no rival.</w:t>
      </w:r>
    </w:p>
    <w:p w14:paraId="28484715" w14:textId="4215D555" w:rsidR="002349D1" w:rsidRDefault="00000000">
      <w:pPr>
        <w:spacing w:after="160" w:line="360" w:lineRule="auto"/>
        <w:ind w:firstLine="720"/>
      </w:pPr>
      <w:r>
        <w:t xml:space="preserve">The position explored here may strike some readers as unusual, and it is worth saying plainly what it does and does not claim. It does not deny that the Old Testament teaches that YHWH alone is God. Nor does it reject the conciliar confession of one divine essence in three </w:t>
      </w:r>
      <w:proofErr w:type="gramStart"/>
      <w:r>
        <w:t>persons</w:t>
      </w:r>
      <w:proofErr w:type="gramEnd"/>
      <w:r>
        <w:t xml:space="preserve">. Its claim is narrower. It suggests that Deuteronomy 6:4 may not have been written to supply the metaphysical premise on which many statements of the logical problem of the Trinity depend, and that recognizing this could change how </w:t>
      </w:r>
      <w:r w:rsidR="00675A79">
        <w:t>best to address that problem</w:t>
      </w:r>
      <w:r>
        <w:t>.</w:t>
      </w:r>
    </w:p>
    <w:p w14:paraId="77DBBC61" w14:textId="251CA1F0" w:rsidR="002349D1" w:rsidRDefault="00000000">
      <w:pPr>
        <w:spacing w:after="160" w:line="360" w:lineRule="auto"/>
        <w:ind w:firstLine="720"/>
      </w:pPr>
      <w:r>
        <w:t xml:space="preserve">This matters because </w:t>
      </w:r>
      <w:r w:rsidR="00186B52">
        <w:t>contemporary philosophical theology has tried to show the doctrine's coherence</w:t>
      </w:r>
      <w:r>
        <w:t xml:space="preserve">. One family of approaches, often grouped under the label conceptualism, locates the distinctions among the </w:t>
      </w:r>
      <w:proofErr w:type="gramStart"/>
      <w:r>
        <w:t>persons</w:t>
      </w:r>
      <w:proofErr w:type="gramEnd"/>
      <w:r>
        <w:t xml:space="preserve"> in </w:t>
      </w:r>
      <w:proofErr w:type="gramStart"/>
      <w:r>
        <w:t>predication</w:t>
      </w:r>
      <w:proofErr w:type="gramEnd"/>
      <w:r>
        <w:t>, concepts, or aspects rather than in the divine being itself.</w:t>
      </w:r>
      <w:r>
        <w:rPr>
          <w:rStyle w:val="FootnoteReference"/>
        </w:rPr>
        <w:footnoteReference w:id="4"/>
      </w:r>
      <w:r>
        <w:t xml:space="preserve"> These approaches clarify a great deal. Critics argue, though, that </w:t>
      </w:r>
      <w:r w:rsidR="00186B52">
        <w:t>conceptual distinctions</w:t>
      </w:r>
      <w:r>
        <w:t xml:space="preserve"> alone seem too thin to sustain </w:t>
      </w:r>
      <w:proofErr w:type="gramStart"/>
      <w:r>
        <w:lastRenderedPageBreak/>
        <w:t>persons</w:t>
      </w:r>
      <w:proofErr w:type="gramEnd"/>
      <w:r>
        <w:t xml:space="preserve"> who know and love one another, and that the view tends to drift toward modalism.</w:t>
      </w:r>
      <w:r>
        <w:rPr>
          <w:rStyle w:val="FootnoteReference"/>
        </w:rPr>
        <w:footnoteReference w:id="5"/>
      </w:r>
      <w:r>
        <w:t xml:space="preserve"> The classical tradition did not regard the </w:t>
      </w:r>
      <w:proofErr w:type="gramStart"/>
      <w:r>
        <w:t>persons</w:t>
      </w:r>
      <w:proofErr w:type="gramEnd"/>
      <w:r>
        <w:t xml:space="preserve"> as distinct only in human concepts. Thomas Aquinas held that the divine relations, though identical </w:t>
      </w:r>
      <w:proofErr w:type="gramStart"/>
      <w:r>
        <w:t>with</w:t>
      </w:r>
      <w:proofErr w:type="gramEnd"/>
      <w:r>
        <w:t xml:space="preserve"> the essence, are </w:t>
      </w:r>
      <w:proofErr w:type="gramStart"/>
      <w:r>
        <w:t>really distinct</w:t>
      </w:r>
      <w:proofErr w:type="gramEnd"/>
      <w:r>
        <w:t xml:space="preserve"> from one another.</w:t>
      </w:r>
      <w:r>
        <w:rPr>
          <w:rStyle w:val="FootnoteReference"/>
        </w:rPr>
        <w:footnoteReference w:id="6"/>
      </w:r>
      <w:r>
        <w:t xml:space="preserve"> A full conceptualism may therefore purchase coherence at a price the tradition </w:t>
      </w:r>
      <w:r w:rsidR="00186B52">
        <w:t>is</w:t>
      </w:r>
      <w:r>
        <w:t xml:space="preserve"> unwilling to pay.</w:t>
      </w:r>
    </w:p>
    <w:p w14:paraId="43D6C794" w14:textId="482F8F14" w:rsidR="002349D1" w:rsidRDefault="00000000">
      <w:pPr>
        <w:spacing w:after="160" w:line="360" w:lineRule="auto"/>
        <w:ind w:firstLine="720"/>
      </w:pPr>
      <w:r>
        <w:t>Th</w:t>
      </w:r>
      <w:r w:rsidR="004379F4">
        <w:t>is</w:t>
      </w:r>
      <w:r>
        <w:t xml:space="preserve"> essay proposes, tentatively, that the relational reading of the Shema and the conceptualist program answer different questions, and that seeing the difference may allow each to do its proper work. If the Shema confesses exclusive loyalty rather than prescribing a metaphysical count, then the verse does not by itself generate the contradiction that conceptualism was designed to resolve. The theologian might then use conceptualist tools where they </w:t>
      </w:r>
      <w:r w:rsidR="004C1345">
        <w:t xml:space="preserve">are strongest, distinguishing the "is" of identity from the "is" of predication, without accepting a metaphysic that reduces </w:t>
      </w:r>
      <w:r>
        <w:t>persons to distinctions of reason. Paul's reworking of the Shema in 1 Corinthians 8:6 offers some support for this, since it seems to place Jesus within Israel's exclusive allegiance before the later councils articulated the ontology.</w:t>
      </w:r>
      <w:r>
        <w:rPr>
          <w:rStyle w:val="FootnoteReference"/>
        </w:rPr>
        <w:footnoteReference w:id="7"/>
      </w:r>
    </w:p>
    <w:p w14:paraId="21B359CD" w14:textId="77777777" w:rsidR="002349D1" w:rsidRDefault="00000000">
      <w:pPr>
        <w:spacing w:after="160" w:line="360" w:lineRule="auto"/>
        <w:ind w:firstLine="720"/>
      </w:pPr>
      <w:r>
        <w:t xml:space="preserve">The argument proceeds in several stages. It first examines the grammar and context of Deuteronomy 6:4 and the semantic range of </w:t>
      </w:r>
      <w:proofErr w:type="spellStart"/>
      <w:r>
        <w:rPr>
          <w:i/>
          <w:iCs/>
        </w:rPr>
        <w:t>ʾeḥād</w:t>
      </w:r>
      <w:proofErr w:type="spellEnd"/>
      <w:r>
        <w:t>. It then considers texts that resist a purely relational reading. Third, it traces the use of the Shema in Mark 12 and 1 Corinthians 8. Fourth, it assesses conceptualism and offers a modest proposal, explaining why that proposal may work better than either a strong numerical reading of the Shema or a thoroughgoing conceptualism. It closes by considering objections.</w:t>
      </w:r>
    </w:p>
    <w:p w14:paraId="7888C990" w14:textId="77777777" w:rsidR="002349D1" w:rsidRDefault="00000000">
      <w:pPr>
        <w:pStyle w:val="Heading1"/>
        <w:spacing w:before="360" w:after="200"/>
      </w:pPr>
      <w:r>
        <w:lastRenderedPageBreak/>
        <w:t>II. The Exegetical Case for a Relational Reading</w:t>
      </w:r>
    </w:p>
    <w:p w14:paraId="32A98D14" w14:textId="77777777" w:rsidR="002349D1" w:rsidRDefault="00000000">
      <w:pPr>
        <w:spacing w:after="160" w:line="360" w:lineRule="auto"/>
        <w:ind w:firstLine="720"/>
      </w:pPr>
      <w:r>
        <w:t xml:space="preserve">The Hebrew of Deuteronomy 6:4 consists of a summons followed by four words: </w:t>
      </w:r>
      <w:r>
        <w:rPr>
          <w:rFonts w:ascii="SBL Hebrew" w:eastAsia="SBL Hebrew" w:hAnsi="SBL Hebrew" w:cs="SBL Hebrew" w:hint="cs"/>
          <w:rtl/>
        </w:rPr>
        <w:t>שְׁמַע יִשְׂרָאֵל יְהוָה אֱלֹהֵינוּ יְהוָה אֶחָד</w:t>
      </w:r>
      <w:r>
        <w:t>. Because the clause has no expressed verb, the reader must decide where the predicate falls. At least four renderings are grammatically possible: "YHWH our God, YHWH is one"; "YHWH our God is one YHWH"; "YHWH is our God, YHWH is one"; and "YHWH is our God, YHWH alone." Block's survey of these options leads him to favor the last, largely on contextual grounds.</w:t>
      </w:r>
      <w:r>
        <w:rPr>
          <w:rStyle w:val="FootnoteReference"/>
        </w:rPr>
        <w:footnoteReference w:id="8"/>
      </w:r>
      <w:r>
        <w:t xml:space="preserve"> The grammar alone does not seem to decide the matter, which suggests that the surrounding text deserves considerable weight.</w:t>
      </w:r>
    </w:p>
    <w:p w14:paraId="2D96042B" w14:textId="44ADFC96" w:rsidR="002349D1" w:rsidRDefault="00000000">
      <w:pPr>
        <w:spacing w:after="160" w:line="360" w:lineRule="auto"/>
        <w:ind w:firstLine="720"/>
      </w:pPr>
      <w:r>
        <w:t xml:space="preserve">The semantic range of </w:t>
      </w:r>
      <w:r>
        <w:rPr>
          <w:rFonts w:ascii="SBL Hebrew" w:eastAsia="SBL Hebrew" w:hAnsi="SBL Hebrew" w:cs="SBL Hebrew" w:hint="cs"/>
          <w:rtl/>
        </w:rPr>
        <w:t>אֶחָד</w:t>
      </w:r>
      <w:r>
        <w:t xml:space="preserve"> (</w:t>
      </w:r>
      <w:proofErr w:type="spellStart"/>
      <w:r>
        <w:rPr>
          <w:i/>
          <w:iCs/>
        </w:rPr>
        <w:t>ʾeḥād</w:t>
      </w:r>
      <w:proofErr w:type="spellEnd"/>
      <w:r>
        <w:t xml:space="preserve">) also </w:t>
      </w:r>
      <w:r w:rsidR="004C1345">
        <w:t>allows</w:t>
      </w:r>
      <w:r>
        <w:t xml:space="preserve"> more than one reading. The word can function as a plain numeral, as in "one day" (Gen 1:5). It can describe a unity formed from more than one member, as when the man and woman become "one flesh" (Gen 2:24) or the builders at Babel are "one people" (Gen 11:6). It can also carry the sense of "unique" or "only," as when the beloved in the Song is "one" to the speaker (Song 6:9) or Israel is the "one nation" God went to redeem (1 Chr 17:21). In these last cases the word does not seem to assert that only one woman or one nation exists. It </w:t>
      </w:r>
      <w:proofErr w:type="gramStart"/>
      <w:r>
        <w:t>names</w:t>
      </w:r>
      <w:proofErr w:type="gramEnd"/>
      <w:r>
        <w:t xml:space="preserve"> the singular place that one party holds in the affections or purposes of another. If the Shema uses </w:t>
      </w:r>
      <w:proofErr w:type="spellStart"/>
      <w:r>
        <w:rPr>
          <w:i/>
          <w:iCs/>
        </w:rPr>
        <w:t>ʾeḥād</w:t>
      </w:r>
      <w:proofErr w:type="spellEnd"/>
      <w:r>
        <w:t xml:space="preserve"> in something like this sense, the verse would be saying that YHWH holds a singular and unrivaled place in Israel's life.</w:t>
      </w:r>
    </w:p>
    <w:p w14:paraId="6F2ABF88" w14:textId="77777777" w:rsidR="002349D1" w:rsidRDefault="00000000">
      <w:pPr>
        <w:spacing w:after="160" w:line="360" w:lineRule="auto"/>
        <w:ind w:firstLine="720"/>
      </w:pPr>
      <w:r>
        <w:t xml:space="preserve">The immediate context seems to favor that emphasis. Verse 4 does not stand alone. It grounds the command that follows: "You shall love YHWH your God with all your heart and with all your soul and with all </w:t>
      </w:r>
      <w:proofErr w:type="spellStart"/>
      <w:r>
        <w:t>your</w:t>
      </w:r>
      <w:proofErr w:type="spellEnd"/>
      <w:r>
        <w:t xml:space="preserve"> might" (6:5). The "one" of verse 4 appears to correspond to the "all" of verse 5. Because YHWH is Israel's God alone, Israel's love is to be undivided. The chapter then warns Israel not to "go after other </w:t>
      </w:r>
      <w:r>
        <w:lastRenderedPageBreak/>
        <w:t>gods, the gods of the peoples who are around you," because YHWH is a jealous God (6:14–15). The concern throughout is loyalty in the face of competing claimants, not a speculative question about the divine nature.</w:t>
      </w:r>
    </w:p>
    <w:p w14:paraId="5602C369" w14:textId="77777777" w:rsidR="002349D1" w:rsidRDefault="00000000">
      <w:pPr>
        <w:spacing w:after="160" w:line="360" w:lineRule="auto"/>
        <w:ind w:firstLine="720"/>
      </w:pPr>
      <w:r>
        <w:t>The language of love in this passage may also point in a relational direction. William Moran argued that the command to love God in Deuteronomy draws on the vocabulary of ancient Near Eastern treaties, where a vassal's "love" for a suzerain meant loyal service and exclusive allegiance.</w:t>
      </w:r>
      <w:r>
        <w:rPr>
          <w:rStyle w:val="FootnoteReference"/>
        </w:rPr>
        <w:footnoteReference w:id="9"/>
      </w:r>
      <w:r>
        <w:t xml:space="preserve"> Moshe Weinfeld developed this observation in his commentary, reading much of Deuteronomy's covenant language against that treaty background.</w:t>
      </w:r>
      <w:r>
        <w:rPr>
          <w:rStyle w:val="FootnoteReference"/>
        </w:rPr>
        <w:footnoteReference w:id="10"/>
      </w:r>
      <w:r>
        <w:t xml:space="preserve"> If these scholars are right, the Shema reads naturally as the opening of a covenant oath: Israel confesses that YHWH, and no other, is its sovereign, and pledges its whole self to him.</w:t>
      </w:r>
    </w:p>
    <w:p w14:paraId="430F687D" w14:textId="26E03017" w:rsidR="002349D1" w:rsidRDefault="00000000">
      <w:pPr>
        <w:spacing w:after="160" w:line="360" w:lineRule="auto"/>
        <w:ind w:firstLine="720"/>
      </w:pPr>
      <w:r>
        <w:t xml:space="preserve">None of this proves that the verse has no ontological implications. It does suggest, however, that the </w:t>
      </w:r>
      <w:r w:rsidR="00457CAA">
        <w:t xml:space="preserve">verse's primary function </w:t>
      </w:r>
      <w:r>
        <w:t>may be relational. The Shema seems designed less to tell Israel how many divine persons there are than to tell Israel whom it must serve. That distinction, modest as it is, may turn out to matter a good deal for the later Christian discussion.</w:t>
      </w:r>
    </w:p>
    <w:p w14:paraId="412858FB" w14:textId="77777777" w:rsidR="002349D1" w:rsidRDefault="00000000">
      <w:pPr>
        <w:pStyle w:val="Heading1"/>
        <w:spacing w:before="360" w:after="200"/>
      </w:pPr>
      <w:r>
        <w:t xml:space="preserve">III. The Limits of </w:t>
      </w:r>
      <w:proofErr w:type="gramStart"/>
      <w:r>
        <w:t>the Relational</w:t>
      </w:r>
      <w:proofErr w:type="gramEnd"/>
      <w:r>
        <w:t xml:space="preserve"> Reading</w:t>
      </w:r>
    </w:p>
    <w:p w14:paraId="43EA594B" w14:textId="7B97CFE1" w:rsidR="002349D1" w:rsidRDefault="00000000">
      <w:pPr>
        <w:spacing w:after="160" w:line="360" w:lineRule="auto"/>
        <w:ind w:firstLine="720"/>
      </w:pPr>
      <w:r>
        <w:t xml:space="preserve">A careful case for the relational reading should acknowledge the texts that seem to say more. Deuteronomy itself declares that "YHWH is God; there is no other besides him" (4:35), and that "YHWH is God in heaven above and on the earth beneath; there is no other" (4:39). Isaiah is more pointed still: "I am the first and I am the last; besides me there is no god" (Isa 44:6); "I am YHWH, and there is no other, besides me there is no </w:t>
      </w:r>
      <w:r>
        <w:lastRenderedPageBreak/>
        <w:t>God" (45:5). Statements of this kind appear to deny that any rival deity possesses genuine divinity. It would be difficult to read them as expressions of loyalty only.</w:t>
      </w:r>
    </w:p>
    <w:p w14:paraId="1070705C" w14:textId="77777777" w:rsidR="002349D1" w:rsidRDefault="00000000">
      <w:pPr>
        <w:spacing w:after="160" w:line="360" w:lineRule="auto"/>
        <w:ind w:firstLine="720"/>
      </w:pPr>
      <w:r>
        <w:t>MacDonald contends that even Deuteronomy 4 serves the book's larger call to devotion, and that its claims about YHWH's uniqueness are made in order to evoke Israel's exclusive love.</w:t>
      </w:r>
      <w:r>
        <w:rPr>
          <w:rStyle w:val="FootnoteReference"/>
        </w:rPr>
        <w:footnoteReference w:id="11"/>
      </w:r>
      <w:r>
        <w:t xml:space="preserve"> That may be correct, yet it seems fair to say that a confession of exclusive loyalty presupposes something about the one to whom loyalty is owed. Israel is not asked to be loyal to one </w:t>
      </w:r>
      <w:proofErr w:type="gramStart"/>
      <w:r>
        <w:t>god</w:t>
      </w:r>
      <w:proofErr w:type="gramEnd"/>
      <w:r>
        <w:t xml:space="preserve"> among equals. It is asked to serve the God who made heaven and earth and who alone acts in history to save. </w:t>
      </w:r>
      <w:proofErr w:type="gramStart"/>
      <w:r>
        <w:t>The relational</w:t>
      </w:r>
      <w:proofErr w:type="gramEnd"/>
      <w:r>
        <w:t xml:space="preserve"> reading, then, is probably best stated as a claim about the primary function of the Shema rather than as a denial that the Old Testament makes claims about what is real.</w:t>
      </w:r>
    </w:p>
    <w:p w14:paraId="4493324B" w14:textId="77777777" w:rsidR="002349D1" w:rsidRDefault="00000000">
      <w:pPr>
        <w:spacing w:after="160" w:line="360" w:lineRule="auto"/>
        <w:ind w:firstLine="720"/>
      </w:pPr>
      <w:r>
        <w:t>This concession has a further benefit. Unitarian writers have often appealed to the Shema as a numerical statement that excludes any plurality within God.</w:t>
      </w:r>
      <w:r>
        <w:rPr>
          <w:rStyle w:val="FootnoteReference"/>
        </w:rPr>
        <w:footnoteReference w:id="12"/>
      </w:r>
      <w:r>
        <w:t xml:space="preserve"> A relational reading of the verse does not hand them that premise, but neither does it deny that Israel's God is unique. It relocates the question. The issue is no longer how many divine individuals the Shema permits but who YHWH is and to whom Israel's undivided allegiance belongs.</w:t>
      </w:r>
    </w:p>
    <w:p w14:paraId="5DFD3BEA" w14:textId="037D67D0" w:rsidR="002349D1" w:rsidRDefault="00000000">
      <w:pPr>
        <w:spacing w:after="160" w:line="360" w:lineRule="auto"/>
        <w:ind w:firstLine="720"/>
      </w:pPr>
      <w:r>
        <w:t>Richard Bauckham's work offers a helpful way to frame this. He argues that Second Temple Jewish monotheism was concerned primarily with the identity of the one God, with who God is, rather than with a definition of divine nature, with what divinity is.</w:t>
      </w:r>
      <w:r>
        <w:rPr>
          <w:rStyle w:val="FootnoteReference"/>
        </w:rPr>
        <w:footnoteReference w:id="13"/>
      </w:r>
      <w:r>
        <w:t xml:space="preserve"> YHWH is identified as the sole Creator of all things and the sole Ruler over all things, and as the one who alone is to be worshipped. If Bauckham is right, the ontological claims of Isaiah and Deuteronomy 4 are claims about the unique identity of </w:t>
      </w:r>
      <w:r>
        <w:lastRenderedPageBreak/>
        <w:t xml:space="preserve">the covenant God. They mark YHWH off from every other claimant. They do not seem to address the question of whether that unique identity might include internal distinctions. </w:t>
      </w:r>
      <w:r w:rsidR="00D3004D">
        <w:t>The Old Testament, it appears, leaves that question</w:t>
      </w:r>
      <w:r>
        <w:t xml:space="preserve"> open.</w:t>
      </w:r>
    </w:p>
    <w:p w14:paraId="56F06396" w14:textId="77777777" w:rsidR="002349D1" w:rsidRDefault="00000000">
      <w:pPr>
        <w:pStyle w:val="Heading1"/>
        <w:spacing w:before="360" w:after="200"/>
      </w:pPr>
      <w:r>
        <w:t>IV. The Shema in Mark 12 and 1 Corinthians 8</w:t>
      </w:r>
    </w:p>
    <w:p w14:paraId="5F295AB1" w14:textId="3B031685" w:rsidR="002349D1" w:rsidRDefault="00000000">
      <w:pPr>
        <w:spacing w:after="160" w:line="360" w:lineRule="auto"/>
        <w:ind w:firstLine="720"/>
      </w:pPr>
      <w:r>
        <w:t>The New Testament use of the Shema may offer some confirmation of the relational emphasis. In Mark 12:28–34</w:t>
      </w:r>
      <w:r w:rsidR="00BC5E94">
        <w:t>,</w:t>
      </w:r>
      <w:r>
        <w:t xml:space="preserve"> a scribe asks Jesus which commandment is </w:t>
      </w:r>
      <w:proofErr w:type="gramStart"/>
      <w:r>
        <w:t>first of all</w:t>
      </w:r>
      <w:proofErr w:type="gramEnd"/>
      <w:r>
        <w:t xml:space="preserve">. Jesus answers by reciting the Shema together with the command to love God (12:29–30). It is worth noticing the form of the question. The scribe does not ask for a definition of God. He asks for a commandment, and Jesus treats the confession of God's oneness as the opening of that commandment. </w:t>
      </w:r>
      <w:r w:rsidR="00866B87">
        <w:t xml:space="preserve">God's oneness </w:t>
      </w:r>
      <w:r>
        <w:t>appears as the ground of undivided love. The scribe's reply, "he is one, and there is no other besides him" (12:32), echoes Deuteronomy 4:35 and so joins the relational confession to the claim of YHWH's uniqueness, much as the previous section suggested.</w:t>
      </w:r>
    </w:p>
    <w:p w14:paraId="5089130A" w14:textId="77777777" w:rsidR="002349D1" w:rsidRDefault="00000000">
      <w:pPr>
        <w:spacing w:after="160" w:line="360" w:lineRule="auto"/>
        <w:ind w:firstLine="720"/>
      </w:pPr>
      <w:r>
        <w:t xml:space="preserve">Paul's treatment in 1 Corinthians 8 is more striking. The Corinthians are asking whether they may eat food offered to idols. Paul agrees that "there is no God but one" (8:4) and acknowledges that in the surrounding culture there are "many gods and many lords" (8:5). He then writes: "yet for us there is one God, the Father, from whom are all things and for whom we exist, and one Lord, Jesus Christ, through whom are all things and through whom we exist" (8:6). Many interpreters have observed that Paul here takes the key terms of the Greek Shema, </w:t>
      </w:r>
      <w:proofErr w:type="spellStart"/>
      <w:r>
        <w:t>θεός</w:t>
      </w:r>
      <w:proofErr w:type="spellEnd"/>
      <w:r>
        <w:t xml:space="preserve"> (</w:t>
      </w:r>
      <w:proofErr w:type="spellStart"/>
      <w:r>
        <w:rPr>
          <w:i/>
          <w:iCs/>
        </w:rPr>
        <w:t>theos</w:t>
      </w:r>
      <w:proofErr w:type="spellEnd"/>
      <w:r>
        <w:t xml:space="preserve">), </w:t>
      </w:r>
      <w:proofErr w:type="spellStart"/>
      <w:r>
        <w:t>κύριος</w:t>
      </w:r>
      <w:proofErr w:type="spellEnd"/>
      <w:r>
        <w:t xml:space="preserve"> (</w:t>
      </w:r>
      <w:proofErr w:type="spellStart"/>
      <w:r>
        <w:rPr>
          <w:i/>
          <w:iCs/>
        </w:rPr>
        <w:t>kyrios</w:t>
      </w:r>
      <w:proofErr w:type="spellEnd"/>
      <w:r>
        <w:t xml:space="preserve">), and </w:t>
      </w:r>
      <w:proofErr w:type="spellStart"/>
      <w:r>
        <w:t>εἷς</w:t>
      </w:r>
      <w:proofErr w:type="spellEnd"/>
      <w:r>
        <w:t xml:space="preserve"> (</w:t>
      </w:r>
      <w:proofErr w:type="spellStart"/>
      <w:r>
        <w:rPr>
          <w:i/>
          <w:iCs/>
        </w:rPr>
        <w:t>heis</w:t>
      </w:r>
      <w:proofErr w:type="spellEnd"/>
      <w:r>
        <w:t>), and distributes them between the Father and Jesus.</w:t>
      </w:r>
      <w:r>
        <w:rPr>
          <w:rStyle w:val="FootnoteReference"/>
        </w:rPr>
        <w:footnoteReference w:id="14"/>
      </w:r>
    </w:p>
    <w:p w14:paraId="35AC3F33" w14:textId="77777777" w:rsidR="002349D1" w:rsidRDefault="00000000">
      <w:pPr>
        <w:spacing w:after="160" w:line="360" w:lineRule="auto"/>
        <w:ind w:firstLine="720"/>
      </w:pPr>
      <w:r>
        <w:t xml:space="preserve">Two features of this passage seem relevant. The first is that the setting is a question of allegiance. Paul's contrast is between the many gods and lords to whom the </w:t>
      </w:r>
      <w:r>
        <w:lastRenderedPageBreak/>
        <w:t>Corinthians' neighbors give devotion and the one God and one Lord to whom believers belong. The phrase "for us" marks a confessional boundary. Larry Hurtado has argued that the earliest Christians expressed their faith in Jesus chiefly through patterns of devotion, prayer, acclamation, and worship, directed to Jesus alongside God, and that this devotional pattern is what distinguished early Christian monotheism.</w:t>
      </w:r>
      <w:r>
        <w:rPr>
          <w:rStyle w:val="FootnoteReference"/>
        </w:rPr>
        <w:footnoteReference w:id="15"/>
      </w:r>
      <w:r>
        <w:t xml:space="preserve"> If that is correct, the earliest Christian confession of Jesus was worked out first in the register of loyalty and worship that the Shema itself appears to occupy.</w:t>
      </w:r>
    </w:p>
    <w:p w14:paraId="2C0155D4" w14:textId="77777777" w:rsidR="002349D1" w:rsidRDefault="00000000">
      <w:pPr>
        <w:spacing w:after="160" w:line="360" w:lineRule="auto"/>
        <w:ind w:firstLine="720"/>
      </w:pPr>
      <w:r>
        <w:t>The second feature is that Paul does not leave the matter at loyalty. The Father is the one "from whom" all things come, and Jesus is the one "through whom" all things come. Paul places Jesus within the creative work that, on Bauckham's account, belonged to the unique identity of YHWH alone.</w:t>
      </w:r>
      <w:r>
        <w:rPr>
          <w:rStyle w:val="FootnoteReference"/>
        </w:rPr>
        <w:footnoteReference w:id="16"/>
      </w:r>
      <w:r>
        <w:t xml:space="preserve"> The relational confession is thus joined to a claim about who God is.</w:t>
      </w:r>
    </w:p>
    <w:p w14:paraId="4A4678BC" w14:textId="0EED509A" w:rsidR="002349D1" w:rsidRDefault="00000000">
      <w:pPr>
        <w:spacing w:after="160" w:line="360" w:lineRule="auto"/>
        <w:ind w:firstLine="720"/>
      </w:pPr>
      <w:r>
        <w:t xml:space="preserve">This pattern may be instructive. Paul seems to extend Israel's exclusive allegiance to include Jesus, </w:t>
      </w:r>
      <w:r w:rsidR="00974B84">
        <w:t>grounding</w:t>
      </w:r>
      <w:r>
        <w:t xml:space="preserve"> that extension in Jesus' participation in the identity of the one Creator. He does not, however, </w:t>
      </w:r>
      <w:r w:rsidR="00974B84">
        <w:t>explain how the Father and the Son relate</w:t>
      </w:r>
      <w:r>
        <w:t xml:space="preserve"> within that identity. That question would occupy the church for the next four centuries. If Paul's procedure is a guide, the Shema may function in Christian theology less as a metaphysical premise to be reconciled with the Trinity than as the confession within which the Trinity was first recognized.</w:t>
      </w:r>
    </w:p>
    <w:p w14:paraId="0C92B285" w14:textId="77777777" w:rsidR="002349D1" w:rsidRDefault="00000000">
      <w:pPr>
        <w:pStyle w:val="Heading1"/>
        <w:spacing w:before="360" w:after="200"/>
      </w:pPr>
      <w:r>
        <w:t>V. Conceptualism: What It Offers and What It Costs</w:t>
      </w:r>
    </w:p>
    <w:p w14:paraId="72D75335" w14:textId="77777777" w:rsidR="002349D1" w:rsidRDefault="00000000">
      <w:pPr>
        <w:spacing w:after="160" w:line="360" w:lineRule="auto"/>
        <w:ind w:firstLine="720"/>
      </w:pPr>
      <w:r>
        <w:t xml:space="preserve">The logical problem of the Trinity is usually stated as a set of claims that seem jointly inconsistent: there is exactly one God; the Father is God, the Son is God, and the </w:t>
      </w:r>
      <w:r>
        <w:lastRenderedPageBreak/>
        <w:t>Spirit is God; and the Father, Son, and Spirit are not identical with one another. If "is God" expresses identity, the claims cannot all be true. Much analytic work over the past several decades has tried to show that the claims are not, in fact, inconsistent.</w:t>
      </w:r>
    </w:p>
    <w:p w14:paraId="49A00F9D" w14:textId="77777777" w:rsidR="002349D1" w:rsidRDefault="00000000">
      <w:pPr>
        <w:spacing w:after="160" w:line="360" w:lineRule="auto"/>
        <w:ind w:firstLine="720"/>
      </w:pPr>
      <w:r>
        <w:t>Conceptualism is better understood as a family of strategies than as a single view. Paul Thom has shown that medieval theologians from Augustine to Ockham frequently treated the doctrine as a problem of semantics, asking how personal names and essential terms function and how they relate within a single domain.</w:t>
      </w:r>
      <w:r>
        <w:rPr>
          <w:rStyle w:val="FootnoteReference"/>
        </w:rPr>
        <w:footnoteReference w:id="17"/>
      </w:r>
      <w:r>
        <w:t xml:space="preserve"> Joshua Sijuwade has proposed an </w:t>
      </w:r>
      <w:proofErr w:type="spellStart"/>
      <w:r>
        <w:t>aspectival</w:t>
      </w:r>
      <w:proofErr w:type="spellEnd"/>
      <w:r>
        <w:t xml:space="preserve"> model in which one divine substance is distinguished into persons by aspects, with primary identity reserved for the Father and divinity predicated of the Son and Spirit.</w:t>
      </w:r>
      <w:r>
        <w:rPr>
          <w:rStyle w:val="FootnoteReference"/>
        </w:rPr>
        <w:footnoteReference w:id="18"/>
      </w:r>
      <w:r>
        <w:t xml:space="preserve"> Alister McGrath, drawing on the philosophy of science, has asked whether the doctrine is best understood as an intellectual construct that organizes the data of revelation, while leaving its ontological status partly open.</w:t>
      </w:r>
      <w:r>
        <w:rPr>
          <w:rStyle w:val="FootnoteReference"/>
        </w:rPr>
        <w:footnoteReference w:id="19"/>
      </w:r>
      <w:r>
        <w:t xml:space="preserve"> These proposals differ, but they share a common move. Each locates the </w:t>
      </w:r>
      <w:proofErr w:type="spellStart"/>
      <w:r>
        <w:t>threeness</w:t>
      </w:r>
      <w:proofErr w:type="spellEnd"/>
      <w:r>
        <w:t xml:space="preserve"> of God, at least in part, in how God is conceived or spoken of rather than in a multiplication of divine beings.</w:t>
      </w:r>
    </w:p>
    <w:p w14:paraId="1C83E183" w14:textId="6FFC8361" w:rsidR="002349D1" w:rsidRDefault="00000000">
      <w:pPr>
        <w:spacing w:after="160" w:line="360" w:lineRule="auto"/>
        <w:ind w:firstLine="720"/>
      </w:pPr>
      <w:r>
        <w:t xml:space="preserve">The strength of this move is real. Separating person-language from nature-language seems to remove </w:t>
      </w:r>
      <w:r w:rsidR="00F803D6">
        <w:t>much</w:t>
      </w:r>
      <w:r>
        <w:t xml:space="preserve"> apparent contradiction. When "God" is used as a name for the one divine being, the Son is not identical with it in the way the Father is in some models. When "God" is used as a predicate, the Son is God in the sense that he possesses the whole divine nature. Once these uses are distinguished, the formal contradiction loses much of its force. The tradition itself was conscious of the limits of </w:t>
      </w:r>
      <w:r>
        <w:lastRenderedPageBreak/>
        <w:t xml:space="preserve">its language. Augustine famously remarked that the church speaks of "three </w:t>
      </w:r>
      <w:proofErr w:type="gramStart"/>
      <w:r>
        <w:t>persons</w:t>
      </w:r>
      <w:proofErr w:type="gramEnd"/>
      <w:r>
        <w:t xml:space="preserve">" not </w:t>
      </w:r>
      <w:proofErr w:type="gramStart"/>
      <w:r>
        <w:t>in order to</w:t>
      </w:r>
      <w:proofErr w:type="gramEnd"/>
      <w:r>
        <w:t xml:space="preserve"> say something exact but in order not to remain silent.</w:t>
      </w:r>
      <w:r>
        <w:rPr>
          <w:rStyle w:val="FootnoteReference"/>
        </w:rPr>
        <w:footnoteReference w:id="20"/>
      </w:r>
    </w:p>
    <w:p w14:paraId="0A6F3283" w14:textId="77777777" w:rsidR="002349D1" w:rsidRDefault="00000000">
      <w:pPr>
        <w:spacing w:after="160" w:line="360" w:lineRule="auto"/>
        <w:ind w:firstLine="720"/>
      </w:pPr>
      <w:r>
        <w:t>The cost, however, is also real. Critics such as Richard Campbell argue that if the distinctions among the persons are only conceptual, then there is nothing in God that knows, loves, or acts as Father in distinction from Son.</w:t>
      </w:r>
      <w:r>
        <w:rPr>
          <w:rStyle w:val="FootnoteReference"/>
        </w:rPr>
        <w:footnoteReference w:id="21"/>
      </w:r>
      <w:r>
        <w:t xml:space="preserve"> Wesley Hill has raised a related concern about accounts that reduce the persons to relations without clarifying what a relation is.</w:t>
      </w:r>
      <w:r>
        <w:rPr>
          <w:rStyle w:val="FootnoteReference"/>
        </w:rPr>
        <w:footnoteReference w:id="22"/>
      </w:r>
      <w:r>
        <w:t xml:space="preserve"> The worry is that conceptualism secures unity by making the persons less than persons, which is the charge historically brought against Sabellius.</w:t>
      </w:r>
    </w:p>
    <w:p w14:paraId="66F18FD9" w14:textId="77777777" w:rsidR="002349D1" w:rsidRDefault="00000000">
      <w:pPr>
        <w:spacing w:after="160" w:line="360" w:lineRule="auto"/>
        <w:ind w:firstLine="720"/>
      </w:pPr>
      <w:r>
        <w:t xml:space="preserve">It is also worth observing that a thoroughgoing conceptualism seems to depart from the conciliar tradition it often hopes to defend. Aquinas held that in God the person and the essence differ only by reason, but that the persons are </w:t>
      </w:r>
      <w:proofErr w:type="gramStart"/>
      <w:r>
        <w:t>really distinct</w:t>
      </w:r>
      <w:proofErr w:type="gramEnd"/>
      <w:r>
        <w:t xml:space="preserve"> from one another by their relations of origin.</w:t>
      </w:r>
      <w:r>
        <w:rPr>
          <w:rStyle w:val="FootnoteReference"/>
        </w:rPr>
        <w:footnoteReference w:id="23"/>
      </w:r>
      <w:r>
        <w:t xml:space="preserve"> The Father is not the Son in reality, and not only in human thought. A view that makes every distinction in God a distinction of reason would therefore appear to lie outside the boundaries Aquinas, and the councils before him, were attempting to keep.</w:t>
      </w:r>
    </w:p>
    <w:p w14:paraId="5C2863E1" w14:textId="77777777" w:rsidR="002349D1" w:rsidRDefault="00000000">
      <w:pPr>
        <w:spacing w:after="160" w:line="360" w:lineRule="auto"/>
        <w:ind w:firstLine="720"/>
      </w:pPr>
      <w:r>
        <w:t xml:space="preserve">This suggests that conceptualism may be most useful when it is used modestly. As a set of tools for clarifying predication, it seems to do valuable work. As a complete metaphysic of the Trinity, it risks paying a price the tradition refused to pay. The question then becomes whether there is a way to keep the benefits without incurring the cost. </w:t>
      </w:r>
      <w:proofErr w:type="gramStart"/>
      <w:r>
        <w:t>The relational</w:t>
      </w:r>
      <w:proofErr w:type="gramEnd"/>
      <w:r>
        <w:t xml:space="preserve"> reading of the Shema may offer one.</w:t>
      </w:r>
    </w:p>
    <w:p w14:paraId="148C85BC" w14:textId="77777777" w:rsidR="002349D1" w:rsidRDefault="00000000">
      <w:pPr>
        <w:pStyle w:val="Heading1"/>
        <w:spacing w:before="360" w:after="200"/>
      </w:pPr>
      <w:r>
        <w:lastRenderedPageBreak/>
        <w:t>VI. A Proposal, and Why It May Work Better</w:t>
      </w:r>
    </w:p>
    <w:p w14:paraId="6DF32C59" w14:textId="77777777" w:rsidR="002349D1" w:rsidRDefault="00000000">
      <w:pPr>
        <w:spacing w:after="160" w:line="360" w:lineRule="auto"/>
        <w:ind w:firstLine="720"/>
      </w:pPr>
      <w:r>
        <w:t xml:space="preserve">The proposal can be stated in three steps. First, Deuteronomy 6:4 may be read primarily as a confession of exclusive allegiance to YHWH, grounded in YHWH's unique identity as Creator and Redeemer, rather than as a statement about the internal constitution of God. Second, if that is so, the Shema does not by itself supply the premise that there is exactly one divine person, or one center of personal life, in God. Third, the theologian may then use conceptualist tools to clarify Trinitarian language, while continuing to affirm with the councils that the persons are </w:t>
      </w:r>
      <w:proofErr w:type="gramStart"/>
      <w:r>
        <w:t>really distinct</w:t>
      </w:r>
      <w:proofErr w:type="gramEnd"/>
      <w:r>
        <w:t>.</w:t>
      </w:r>
    </w:p>
    <w:p w14:paraId="24F9553C" w14:textId="77777777" w:rsidR="002349D1" w:rsidRDefault="00000000">
      <w:pPr>
        <w:spacing w:after="160" w:line="360" w:lineRule="auto"/>
        <w:ind w:firstLine="720"/>
      </w:pPr>
      <w:r>
        <w:t>Why might this work better than the alternatives? It may help to set the options side by side.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400"/>
        <w:gridCol w:w="2100"/>
        <w:gridCol w:w="2660"/>
      </w:tblGrid>
      <w:tr w:rsidR="002349D1" w14:paraId="47EA39D6" w14:textId="77777777">
        <w:tblPrEx>
          <w:tblCellMar>
            <w:top w:w="0" w:type="dxa"/>
            <w:bottom w:w="0" w:type="dxa"/>
          </w:tblCellMar>
        </w:tblPrEx>
        <w:trPr>
          <w:cantSplit/>
          <w:tblHeader/>
        </w:trPr>
        <w:tc>
          <w:tcPr>
            <w:tcW w:w="2200" w:type="dxa"/>
            <w:tcBorders>
              <w:top w:val="single" w:sz="4" w:space="0" w:color="999999"/>
              <w:left w:val="single" w:sz="4" w:space="0" w:color="999999"/>
              <w:bottom w:val="single" w:sz="4" w:space="0" w:color="999999"/>
              <w:right w:val="single" w:sz="4" w:space="0" w:color="999999"/>
            </w:tcBorders>
            <w:shd w:val="clear" w:color="auto" w:fill="E8E8E8"/>
            <w:tcMar>
              <w:top w:w="80" w:type="dxa"/>
              <w:left w:w="100" w:type="dxa"/>
              <w:bottom w:w="80" w:type="dxa"/>
              <w:right w:w="100" w:type="dxa"/>
            </w:tcMar>
          </w:tcPr>
          <w:p w14:paraId="0C479EDD" w14:textId="77777777" w:rsidR="002349D1" w:rsidRDefault="00000000">
            <w:r>
              <w:rPr>
                <w:b/>
                <w:bCs/>
                <w:sz w:val="20"/>
                <w:szCs w:val="20"/>
              </w:rPr>
              <w:t>Approach</w:t>
            </w:r>
          </w:p>
        </w:tc>
        <w:tc>
          <w:tcPr>
            <w:tcW w:w="2400" w:type="dxa"/>
            <w:tcBorders>
              <w:top w:val="single" w:sz="4" w:space="0" w:color="999999"/>
              <w:left w:val="single" w:sz="4" w:space="0" w:color="999999"/>
              <w:bottom w:val="single" w:sz="4" w:space="0" w:color="999999"/>
              <w:right w:val="single" w:sz="4" w:space="0" w:color="999999"/>
            </w:tcBorders>
            <w:shd w:val="clear" w:color="auto" w:fill="E8E8E8"/>
            <w:tcMar>
              <w:top w:w="80" w:type="dxa"/>
              <w:left w:w="100" w:type="dxa"/>
              <w:bottom w:w="80" w:type="dxa"/>
              <w:right w:w="100" w:type="dxa"/>
            </w:tcMar>
          </w:tcPr>
          <w:p w14:paraId="32A64360" w14:textId="77777777" w:rsidR="002349D1" w:rsidRDefault="00000000">
            <w:r>
              <w:rPr>
                <w:b/>
                <w:bCs/>
                <w:sz w:val="20"/>
                <w:szCs w:val="20"/>
              </w:rPr>
              <w:t>Reading of the Shema</w:t>
            </w:r>
          </w:p>
        </w:tc>
        <w:tc>
          <w:tcPr>
            <w:tcW w:w="2100" w:type="dxa"/>
            <w:tcBorders>
              <w:top w:val="single" w:sz="4" w:space="0" w:color="999999"/>
              <w:left w:val="single" w:sz="4" w:space="0" w:color="999999"/>
              <w:bottom w:val="single" w:sz="4" w:space="0" w:color="999999"/>
              <w:right w:val="single" w:sz="4" w:space="0" w:color="999999"/>
            </w:tcBorders>
            <w:shd w:val="clear" w:color="auto" w:fill="E8E8E8"/>
            <w:tcMar>
              <w:top w:w="80" w:type="dxa"/>
              <w:left w:w="100" w:type="dxa"/>
              <w:bottom w:w="80" w:type="dxa"/>
              <w:right w:w="100" w:type="dxa"/>
            </w:tcMar>
          </w:tcPr>
          <w:p w14:paraId="2F739178" w14:textId="77777777" w:rsidR="002349D1" w:rsidRDefault="00000000">
            <w:r>
              <w:rPr>
                <w:b/>
                <w:bCs/>
                <w:sz w:val="20"/>
                <w:szCs w:val="20"/>
              </w:rPr>
              <w:t>Status of the persons</w:t>
            </w:r>
          </w:p>
        </w:tc>
        <w:tc>
          <w:tcPr>
            <w:tcW w:w="2660" w:type="dxa"/>
            <w:tcBorders>
              <w:top w:val="single" w:sz="4" w:space="0" w:color="999999"/>
              <w:left w:val="single" w:sz="4" w:space="0" w:color="999999"/>
              <w:bottom w:val="single" w:sz="4" w:space="0" w:color="999999"/>
              <w:right w:val="single" w:sz="4" w:space="0" w:color="999999"/>
            </w:tcBorders>
            <w:shd w:val="clear" w:color="auto" w:fill="E8E8E8"/>
            <w:tcMar>
              <w:top w:w="80" w:type="dxa"/>
              <w:left w:w="100" w:type="dxa"/>
              <w:bottom w:w="80" w:type="dxa"/>
              <w:right w:w="100" w:type="dxa"/>
            </w:tcMar>
          </w:tcPr>
          <w:p w14:paraId="7FA06907" w14:textId="77777777" w:rsidR="002349D1" w:rsidRDefault="00000000">
            <w:r>
              <w:rPr>
                <w:b/>
                <w:bCs/>
                <w:sz w:val="20"/>
                <w:szCs w:val="20"/>
              </w:rPr>
              <w:t>Main difficulty</w:t>
            </w:r>
          </w:p>
        </w:tc>
      </w:tr>
      <w:tr w:rsidR="002349D1" w14:paraId="2AD82C07"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FB9B02A" w14:textId="77777777" w:rsidR="002349D1" w:rsidRDefault="00000000">
            <w:r>
              <w:rPr>
                <w:sz w:val="20"/>
                <w:szCs w:val="20"/>
              </w:rPr>
              <w:t>Numerical Shema with full conceptualism</w:t>
            </w:r>
          </w:p>
        </w:tc>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1A82AE7" w14:textId="77777777" w:rsidR="002349D1" w:rsidRDefault="00000000">
            <w:r>
              <w:rPr>
                <w:sz w:val="20"/>
                <w:szCs w:val="20"/>
              </w:rPr>
              <w:t>Strict count of one divine being and life</w:t>
            </w:r>
          </w:p>
        </w:tc>
        <w:tc>
          <w:tcPr>
            <w:tcW w:w="2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B82AC44" w14:textId="77777777" w:rsidR="002349D1" w:rsidRDefault="00000000">
            <w:r>
              <w:rPr>
                <w:sz w:val="20"/>
                <w:szCs w:val="20"/>
              </w:rPr>
              <w:t>Distinct only in concept or aspect</w:t>
            </w:r>
          </w:p>
        </w:tc>
        <w:tc>
          <w:tcPr>
            <w:tcW w:w="26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F17B06D" w14:textId="77777777" w:rsidR="002349D1" w:rsidRDefault="00000000">
            <w:proofErr w:type="gramStart"/>
            <w:r>
              <w:rPr>
                <w:sz w:val="20"/>
                <w:szCs w:val="20"/>
              </w:rPr>
              <w:t>Persons</w:t>
            </w:r>
            <w:proofErr w:type="gramEnd"/>
            <w:r>
              <w:rPr>
                <w:sz w:val="20"/>
                <w:szCs w:val="20"/>
              </w:rPr>
              <w:t xml:space="preserve"> may become too thin; drift toward modalism</w:t>
            </w:r>
          </w:p>
        </w:tc>
      </w:tr>
      <w:tr w:rsidR="002349D1" w14:paraId="0FC337FA"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21DC7A2" w14:textId="77777777" w:rsidR="002349D1" w:rsidRDefault="00000000">
            <w:r>
              <w:rPr>
                <w:sz w:val="20"/>
                <w:szCs w:val="20"/>
              </w:rPr>
              <w:t>Numerical Shema with social Trinitarianism</w:t>
            </w:r>
          </w:p>
        </w:tc>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B806972" w14:textId="77777777" w:rsidR="002349D1" w:rsidRDefault="00000000">
            <w:r>
              <w:rPr>
                <w:sz w:val="20"/>
                <w:szCs w:val="20"/>
              </w:rPr>
              <w:t>Strict count, reinterpreted as unity of a community</w:t>
            </w:r>
          </w:p>
        </w:tc>
        <w:tc>
          <w:tcPr>
            <w:tcW w:w="2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859FADA" w14:textId="77777777" w:rsidR="002349D1" w:rsidRDefault="00000000">
            <w:r>
              <w:rPr>
                <w:sz w:val="20"/>
                <w:szCs w:val="20"/>
              </w:rPr>
              <w:t>Three robust centers of life</w:t>
            </w:r>
          </w:p>
        </w:tc>
        <w:tc>
          <w:tcPr>
            <w:tcW w:w="26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EF95F21" w14:textId="77777777" w:rsidR="002349D1" w:rsidRDefault="00000000">
            <w:r>
              <w:rPr>
                <w:sz w:val="20"/>
                <w:szCs w:val="20"/>
              </w:rPr>
              <w:t>Seems to strain the Shema and invites the charge of tritheism</w:t>
            </w:r>
          </w:p>
        </w:tc>
      </w:tr>
      <w:tr w:rsidR="002349D1" w14:paraId="0954C8AE"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F473422" w14:textId="77777777" w:rsidR="002349D1" w:rsidRDefault="00000000">
            <w:r>
              <w:rPr>
                <w:sz w:val="20"/>
                <w:szCs w:val="20"/>
              </w:rPr>
              <w:t>Relational Shema with semantic tools (this proposal)</w:t>
            </w:r>
          </w:p>
        </w:tc>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79A7CCAC" w14:textId="77777777" w:rsidR="002349D1" w:rsidRDefault="00000000">
            <w:r>
              <w:rPr>
                <w:sz w:val="20"/>
                <w:szCs w:val="20"/>
              </w:rPr>
              <w:t>Exclusive allegiance grounded in YHWH's unique identity</w:t>
            </w:r>
          </w:p>
        </w:tc>
        <w:tc>
          <w:tcPr>
            <w:tcW w:w="2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563D7E6" w14:textId="77777777" w:rsidR="002349D1" w:rsidRDefault="00000000">
            <w:r>
              <w:rPr>
                <w:sz w:val="20"/>
                <w:szCs w:val="20"/>
              </w:rPr>
              <w:t>Really distinct, as the councils held</w:t>
            </w:r>
          </w:p>
        </w:tc>
        <w:tc>
          <w:tcPr>
            <w:tcW w:w="266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25E5E4E" w14:textId="77777777" w:rsidR="002349D1" w:rsidRDefault="00000000">
            <w:r>
              <w:rPr>
                <w:sz w:val="20"/>
                <w:szCs w:val="20"/>
              </w:rPr>
              <w:t>Must show the Old Testament leaves internal distinction open</w:t>
            </w:r>
          </w:p>
        </w:tc>
      </w:tr>
    </w:tbl>
    <w:p w14:paraId="14A375BC" w14:textId="77777777" w:rsidR="002349D1" w:rsidRDefault="002349D1">
      <w:pPr>
        <w:spacing w:after="120"/>
      </w:pPr>
    </w:p>
    <w:p w14:paraId="5DE85B74" w14:textId="77777777" w:rsidR="002349D1" w:rsidRDefault="00000000">
      <w:pPr>
        <w:spacing w:after="160" w:line="360" w:lineRule="auto"/>
        <w:ind w:firstLine="720"/>
      </w:pPr>
      <w:r>
        <w:t>The comparison suggests at least four reasons the third option deserves consideration.</w:t>
      </w:r>
    </w:p>
    <w:p w14:paraId="360946C9" w14:textId="77777777" w:rsidR="002349D1" w:rsidRDefault="00000000">
      <w:pPr>
        <w:spacing w:after="160" w:line="360" w:lineRule="auto"/>
        <w:ind w:firstLine="720"/>
      </w:pPr>
      <w:r>
        <w:t xml:space="preserve">The first concerns fidelity </w:t>
      </w:r>
      <w:proofErr w:type="gramStart"/>
      <w:r>
        <w:t>to</w:t>
      </w:r>
      <w:proofErr w:type="gramEnd"/>
      <w:r>
        <w:t xml:space="preserve"> the text. On the reading defended in section II, the Shema's own concern is loyalty in the face of rival gods. A theology that treats the verse chiefly as a metaphysical premise may be asking it a question it was not written to answer. The proposal attempts to let the verse speak in its own register.</w:t>
      </w:r>
    </w:p>
    <w:p w14:paraId="1CED581A" w14:textId="77777777" w:rsidR="002349D1" w:rsidRDefault="00000000">
      <w:pPr>
        <w:spacing w:after="160" w:line="360" w:lineRule="auto"/>
        <w:ind w:firstLine="720"/>
      </w:pPr>
      <w:r>
        <w:lastRenderedPageBreak/>
        <w:t>The second concerns the cost of conceptualism. When the Shema is read as a strict metaphysical count, the theologian is under pressure to make the persons as thin as possible, so that their number does not compete with the one God. Conceptualism answers that pressure well, but at the price noted in section V. If the pressure is reduced at its exegetical source, that price may no longer need to be paid. Semantic tools can then do what they appear to do best. Scott Williams, for example, has explored how indexical expressions might allow each person to say "I am God" truly without the persons being identical.</w:t>
      </w:r>
      <w:r>
        <w:rPr>
          <w:rStyle w:val="FootnoteReference"/>
        </w:rPr>
        <w:footnoteReference w:id="24"/>
      </w:r>
      <w:r>
        <w:t xml:space="preserve"> Michael Rea has examined whether relative-identity semantics can preserve one-God, three-persons discourse.</w:t>
      </w:r>
      <w:r>
        <w:rPr>
          <w:rStyle w:val="FootnoteReference"/>
        </w:rPr>
        <w:footnoteReference w:id="25"/>
      </w:r>
      <w:r>
        <w:t xml:space="preserve"> Tools of this kind clarify how Trinitarian sentences work. Under the proposal, they would not be asked to carry the whole metaphysical load.</w:t>
      </w:r>
    </w:p>
    <w:p w14:paraId="58599112" w14:textId="77777777" w:rsidR="002349D1" w:rsidRDefault="00000000">
      <w:pPr>
        <w:spacing w:after="160" w:line="360" w:lineRule="auto"/>
        <w:ind w:firstLine="720"/>
      </w:pPr>
      <w:r>
        <w:t xml:space="preserve">The third concerns continuity with the councils. Nicaea and Constantinople confessed one God and three </w:t>
      </w:r>
      <w:proofErr w:type="gramStart"/>
      <w:r>
        <w:t>really distinct</w:t>
      </w:r>
      <w:proofErr w:type="gramEnd"/>
      <w:r>
        <w:t xml:space="preserve"> persons sharing one essence. The proposal leaves that confession intact. It suggests only that the confession of "one God" in the creeds may rest on the unity of the divine essence and on the unique identity of the God of Israel, rather than on a reading of Deuteronomy 6:4 as a count of persons. In this respect the proposal may be closer to the tradition than a full conceptualism is.</w:t>
      </w:r>
    </w:p>
    <w:p w14:paraId="7F1F3F25" w14:textId="77777777" w:rsidR="002349D1" w:rsidRDefault="00000000">
      <w:pPr>
        <w:spacing w:after="160" w:line="360" w:lineRule="auto"/>
        <w:ind w:firstLine="720"/>
      </w:pPr>
      <w:r>
        <w:t>The fourth concerns the shape of the New Testament evidence. If Hurtado and Bauckham are right, the earliest Christians first recognized Jesus within the worship and allegiance owed to the one God, and only later developed the conceptual vocabulary to describe that recognition. A relational reading of the Shema seems to fit that sequence. Allegiance came first; ontology followed as its explanation.</w:t>
      </w:r>
    </w:p>
    <w:p w14:paraId="6CC665F3" w14:textId="77777777" w:rsidR="002349D1" w:rsidRDefault="00000000">
      <w:pPr>
        <w:spacing w:after="160" w:line="360" w:lineRule="auto"/>
        <w:ind w:firstLine="720"/>
      </w:pPr>
      <w:r>
        <w:lastRenderedPageBreak/>
        <w:t>The proposal also seems to offer some apologetic clarity. In conversation with Jewish and Muslim interlocutors, the disagreement is often framed as arithmetic: one versus three. On the reading suggested here, Christians may affirm with full conviction that YHWH alone is God and that he alone is to be served. The disagreement then moves to where it seems historically to belong, namely to the question of whether Jesus is rightly included within the identity of that one God. That is a question Christians may answer from the New Testament without first conceding that their confession contradicts the Shema.</w:t>
      </w:r>
    </w:p>
    <w:p w14:paraId="124210B1" w14:textId="77777777" w:rsidR="002349D1" w:rsidRDefault="00000000">
      <w:pPr>
        <w:spacing w:after="160" w:line="360" w:lineRule="auto"/>
        <w:ind w:firstLine="720"/>
      </w:pPr>
      <w:r>
        <w:t xml:space="preserve">None of this resolves the mystery of </w:t>
      </w:r>
      <w:proofErr w:type="gramStart"/>
      <w:r>
        <w:t>the Trinity</w:t>
      </w:r>
      <w:proofErr w:type="gramEnd"/>
      <w:r>
        <w:t xml:space="preserve">. The proposal does not explain how one essence subsists in three </w:t>
      </w:r>
      <w:proofErr w:type="gramStart"/>
      <w:r>
        <w:t>persons</w:t>
      </w:r>
      <w:proofErr w:type="gramEnd"/>
      <w:r>
        <w:t xml:space="preserve">. It suggests, more modestly, that one prominent source of apparent contradiction may rest on a contested reading of a single verse, and that removing that source may allow the doctrine to be stated without either </w:t>
      </w:r>
      <w:proofErr w:type="gramStart"/>
      <w:r>
        <w:t>thinning</w:t>
      </w:r>
      <w:proofErr w:type="gramEnd"/>
      <w:r>
        <w:t xml:space="preserve"> the persons or straining the text.</w:t>
      </w:r>
    </w:p>
    <w:p w14:paraId="0B87220F" w14:textId="77777777" w:rsidR="002349D1" w:rsidRDefault="00000000">
      <w:pPr>
        <w:pStyle w:val="Heading1"/>
        <w:spacing w:before="360" w:after="200"/>
      </w:pPr>
      <w:r>
        <w:t>VII. Objections and Replies</w:t>
      </w:r>
    </w:p>
    <w:p w14:paraId="5A323F10" w14:textId="77777777" w:rsidR="002349D1" w:rsidRDefault="00000000">
      <w:pPr>
        <w:spacing w:after="160" w:line="360" w:lineRule="auto"/>
        <w:ind w:firstLine="720"/>
      </w:pPr>
      <w:r>
        <w:t>A position of this kind invites several objections. Four seem especially important.</w:t>
      </w:r>
    </w:p>
    <w:p w14:paraId="54AA29B2" w14:textId="77777777" w:rsidR="002349D1" w:rsidRDefault="00000000">
      <w:pPr>
        <w:spacing w:after="160" w:line="360" w:lineRule="auto"/>
        <w:ind w:firstLine="720"/>
      </w:pPr>
      <w:r>
        <w:rPr>
          <w:b/>
          <w:bCs/>
        </w:rPr>
        <w:t>Objection one: the proposal weakens monotheism.</w:t>
      </w:r>
      <w:r>
        <w:t xml:space="preserve"> If the Shema is primarily about loyalty, it may seem that Israel's faith becomes a form of henotheism, the worship of one </w:t>
      </w:r>
      <w:proofErr w:type="gramStart"/>
      <w:r>
        <w:t>god</w:t>
      </w:r>
      <w:proofErr w:type="gramEnd"/>
      <w:r>
        <w:t xml:space="preserve"> among many. In reply, the proposal does not rest on Deuteronomy 6:4 alone. Section III acknowledged that Deuteronomy 4 and Second Isaiah deny genuine divinity to any rival. The proposal accepts those claims. What it questions is whether the Shema </w:t>
      </w:r>
      <w:proofErr w:type="gramStart"/>
      <w:r>
        <w:t>in particular was</w:t>
      </w:r>
      <w:proofErr w:type="gramEnd"/>
      <w:r>
        <w:t xml:space="preserve"> written to count the persons within YHWH's identity. Exclusive allegiance and the uniqueness of YHWH remain fully in place.</w:t>
      </w:r>
    </w:p>
    <w:p w14:paraId="1F0E662F" w14:textId="77777777" w:rsidR="002349D1" w:rsidRDefault="00000000">
      <w:pPr>
        <w:spacing w:after="160" w:line="360" w:lineRule="auto"/>
        <w:ind w:firstLine="720"/>
      </w:pPr>
      <w:r>
        <w:rPr>
          <w:b/>
          <w:bCs/>
        </w:rPr>
        <w:t>Objection two: the proposal opens the door to a subordinate Christ.</w:t>
      </w:r>
      <w:r>
        <w:t xml:space="preserve"> If the Shema concerns loyalty, could a Christian give loyalty to Jesus as a lesser divine being, in the manner of Arius? </w:t>
      </w:r>
      <w:proofErr w:type="gramStart"/>
      <w:r>
        <w:t>The relational</w:t>
      </w:r>
      <w:proofErr w:type="gramEnd"/>
      <w:r>
        <w:t xml:space="preserve"> reading may in fact make this harder. The Shema </w:t>
      </w:r>
      <w:r>
        <w:lastRenderedPageBreak/>
        <w:t>demands that Israel's whole devotion be given to YHWH alone. On Bauckham's account, worship was the clearest marker of the unique divine identity in Second Temple Judaism. To offer worship to a being outside that identity would itself break the Shema. If the New Testament presents Jesus as rightly worshipped, as Hurtado's evidence suggests, the relational reading seems to require that Jesus be included within the identity of the one God rather than placed beside it.</w:t>
      </w:r>
    </w:p>
    <w:p w14:paraId="0672EEB9" w14:textId="77777777" w:rsidR="002349D1" w:rsidRDefault="00000000">
      <w:pPr>
        <w:spacing w:after="160" w:line="360" w:lineRule="auto"/>
        <w:ind w:firstLine="720"/>
      </w:pPr>
      <w:r>
        <w:rPr>
          <w:b/>
          <w:bCs/>
        </w:rPr>
        <w:t xml:space="preserve">Objection three: the </w:t>
      </w:r>
      <w:proofErr w:type="gramStart"/>
      <w:r>
        <w:rPr>
          <w:b/>
          <w:bCs/>
        </w:rPr>
        <w:t>Fathers</w:t>
      </w:r>
      <w:proofErr w:type="gramEnd"/>
      <w:r>
        <w:rPr>
          <w:b/>
          <w:bCs/>
        </w:rPr>
        <w:t xml:space="preserve"> read the Shema metaphysically.</w:t>
      </w:r>
      <w:r>
        <w:t xml:space="preserve"> Many patristic writers did cite the Shema in support of the unity of the divine essence, and their reading deserves respect. In reply, the proposal does not dispute the conclusion the </w:t>
      </w:r>
      <w:proofErr w:type="gramStart"/>
      <w:r>
        <w:t>Fathers</w:t>
      </w:r>
      <w:proofErr w:type="gramEnd"/>
      <w:r>
        <w:t xml:space="preserve"> drew. The church confessed one essence, and the proposal affirms it. The question is narrower: whether Deuteronomy 6:4, read in its own context, was the source of that conclusion or a text later read in its light. A theologian may hold the conciliar doctrine while judging that its exegetical foundation is broader than a single verse.</w:t>
      </w:r>
    </w:p>
    <w:p w14:paraId="023CD3ED" w14:textId="77777777" w:rsidR="002349D1" w:rsidRDefault="00000000">
      <w:pPr>
        <w:spacing w:after="160" w:line="360" w:lineRule="auto"/>
        <w:ind w:firstLine="720"/>
      </w:pPr>
      <w:r>
        <w:rPr>
          <w:b/>
          <w:bCs/>
        </w:rPr>
        <w:t>Objection four: semantic tools are verbal tricks.</w:t>
      </w:r>
      <w:r>
        <w:t xml:space="preserve"> Some will suspect that distinguishing kinds of predication solves the problem by redefining words. Dale Tuggy has argued that Trinitarian theories have often failed to be both coherent and clearly orthodox, and his challenge should be taken seriously.</w:t>
      </w:r>
      <w:r>
        <w:rPr>
          <w:rStyle w:val="FootnoteReference"/>
        </w:rPr>
        <w:footnoteReference w:id="26"/>
      </w:r>
      <w:r>
        <w:t xml:space="preserve"> The proposal, however, does not claim that semantics resolves the metaphysics. It claims that semantic clarification can remove pseudo-contradictions, while the reality of the personal distinctions is affirmed on other grounds. Distinguishing the "is" of identity from the "is" of predication is not a trick. It reflects an ambiguity present in ordinary speech, which careful theology has long recognized.</w:t>
      </w:r>
    </w:p>
    <w:p w14:paraId="729ADEB8" w14:textId="77777777" w:rsidR="002349D1" w:rsidRDefault="00000000">
      <w:pPr>
        <w:spacing w:after="160" w:line="360" w:lineRule="auto"/>
        <w:ind w:firstLine="720"/>
      </w:pPr>
      <w:r>
        <w:lastRenderedPageBreak/>
        <w:t>Each of these replies is offered as a reasonable response rather than a decisive one. The objections indicate where further work would be needed, especially in the exegesis of Deuteronomy 4 and in the reception of the Shema among the Fathers.</w:t>
      </w:r>
    </w:p>
    <w:p w14:paraId="3A5F3ED2" w14:textId="77777777" w:rsidR="002349D1" w:rsidRDefault="00000000">
      <w:pPr>
        <w:pStyle w:val="Heading1"/>
        <w:spacing w:before="360" w:after="200"/>
      </w:pPr>
      <w:r>
        <w:t>VIII. Conclusion</w:t>
      </w:r>
    </w:p>
    <w:p w14:paraId="72F9C026" w14:textId="77777777" w:rsidR="002349D1" w:rsidRDefault="00000000">
      <w:pPr>
        <w:spacing w:after="160" w:line="360" w:lineRule="auto"/>
        <w:ind w:firstLine="720"/>
      </w:pPr>
      <w:r>
        <w:t xml:space="preserve">This essay has explored the possibility that Deuteronomy 6:4 is primarily a confession of exclusive covenant loyalty rather than a statement about the internal constitution of God. The grammar of the verse permits that reading, the range of </w:t>
      </w:r>
      <w:proofErr w:type="spellStart"/>
      <w:r>
        <w:rPr>
          <w:i/>
          <w:iCs/>
        </w:rPr>
        <w:t>ʾeḥād</w:t>
      </w:r>
      <w:proofErr w:type="spellEnd"/>
      <w:r>
        <w:t xml:space="preserve"> allows it, and the context of Deuteronomy 6 seems to favor it. Texts such as Deuteronomy 4 and Isaiah 45 show that Israel's loyalty was grounded in claims about who YHWH is, and the relational reading is probably best held together with those claims rather than set against them.</w:t>
      </w:r>
    </w:p>
    <w:p w14:paraId="724D650B" w14:textId="77777777" w:rsidR="002349D1" w:rsidRDefault="00000000">
      <w:pPr>
        <w:spacing w:after="160" w:line="360" w:lineRule="auto"/>
        <w:ind w:firstLine="720"/>
      </w:pPr>
      <w:r>
        <w:t xml:space="preserve">If the reading is sound, it may change how the logical problem of the Trinity is best approached. The problem would no longer begin </w:t>
      </w:r>
      <w:proofErr w:type="gramStart"/>
      <w:r>
        <w:t>from</w:t>
      </w:r>
      <w:proofErr w:type="gramEnd"/>
      <w:r>
        <w:t xml:space="preserve"> a verse that counts the persons. It would begin from the unique identity of the God of Israel, within which the New Testament appears to include Jesus. Conceptualist tools could then be used to clarify Trinitarian language, while the real distinction of the persons, as the councils confessed it, would be left in place.</w:t>
      </w:r>
    </w:p>
    <w:p w14:paraId="1E2A3EED" w14:textId="77777777" w:rsidR="002349D1" w:rsidRDefault="00000000">
      <w:pPr>
        <w:spacing w:after="160" w:line="360" w:lineRule="auto"/>
        <w:ind w:firstLine="720"/>
      </w:pPr>
      <w:r>
        <w:t xml:space="preserve">The proposal is offered tentatively. It depends on exegetical judgments that are contested, and it leaves the deepest questions about the divine life where </w:t>
      </w:r>
      <w:proofErr w:type="gramStart"/>
      <w:r>
        <w:t>the tradition</w:t>
      </w:r>
      <w:proofErr w:type="gramEnd"/>
      <w:r>
        <w:t xml:space="preserve"> has always left them, in the region of mystery. It may nonetheless suggest that the church's confession of the triune God and Israel's confession that YHWH alone is God stand closer together than is often assumed. Both call for the whole heart, soul, and strength to be given to the one God, and the New Testament seems to find that one God revealed as Father, Son, and Spirit.</w:t>
      </w:r>
    </w:p>
    <w:sectPr w:rsidR="002349D1">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92A16" w14:textId="77777777" w:rsidR="00CE7733" w:rsidRDefault="00CE7733">
      <w:r>
        <w:separator/>
      </w:r>
    </w:p>
  </w:endnote>
  <w:endnote w:type="continuationSeparator" w:id="0">
    <w:p w14:paraId="5453567D" w14:textId="77777777" w:rsidR="00CE7733" w:rsidRDefault="00CE7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BL Hebrew">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CA88A" w14:textId="77777777" w:rsidR="002349D1" w:rsidRDefault="00000000">
    <w:pPr>
      <w:jc w:val="center"/>
    </w:pPr>
    <w:r>
      <w:rPr>
        <w:sz w:val="20"/>
        <w:szCs w:val="20"/>
      </w:rPr>
      <w:fldChar w:fldCharType="begin"/>
    </w:r>
    <w:r>
      <w:rPr>
        <w:sz w:val="20"/>
        <w:szCs w:val="20"/>
      </w:rPr>
      <w:instrText>PAGE</w:instrText>
    </w:r>
    <w:r>
      <w:rPr>
        <w:sz w:val="20"/>
        <w:szCs w:val="20"/>
      </w:rPr>
      <w:fldChar w:fldCharType="separate"/>
    </w:r>
    <w:r w:rsidR="005E2878">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16875" w14:textId="77777777" w:rsidR="00CE7733" w:rsidRDefault="00CE7733">
      <w:r>
        <w:separator/>
      </w:r>
    </w:p>
  </w:footnote>
  <w:footnote w:type="continuationSeparator" w:id="0">
    <w:p w14:paraId="5B7DB291" w14:textId="77777777" w:rsidR="00CE7733" w:rsidRDefault="00CE7733">
      <w:r>
        <w:continuationSeparator/>
      </w:r>
    </w:p>
  </w:footnote>
  <w:footnote w:id="1">
    <w:p w14:paraId="396C4F74" w14:textId="77777777" w:rsidR="002349D1" w:rsidRDefault="00000000">
      <w:r>
        <w:rPr>
          <w:rStyle w:val="FootnoteReference"/>
        </w:rPr>
        <w:footnoteRef/>
      </w:r>
      <w:r>
        <w:rPr>
          <w:sz w:val="20"/>
          <w:szCs w:val="20"/>
        </w:rPr>
        <w:t xml:space="preserve">Daniel I. Block, "How Many Is God? An Investigation into the Meaning of Deuteronomy 6:4–5," </w:t>
      </w:r>
      <w:r>
        <w:rPr>
          <w:i/>
          <w:iCs/>
          <w:sz w:val="20"/>
          <w:szCs w:val="20"/>
        </w:rPr>
        <w:t>Journal of the Evangelical Theological Society</w:t>
      </w:r>
      <w:r>
        <w:rPr>
          <w:sz w:val="20"/>
          <w:szCs w:val="20"/>
        </w:rPr>
        <w:t xml:space="preserve"> 47, no. 2 (2004): 193–212.</w:t>
      </w:r>
    </w:p>
  </w:footnote>
  <w:footnote w:id="2">
    <w:p w14:paraId="0B30F760" w14:textId="77777777" w:rsidR="002349D1" w:rsidRDefault="00000000">
      <w:r>
        <w:rPr>
          <w:rStyle w:val="FootnoteReference"/>
        </w:rPr>
        <w:footnoteRef/>
      </w:r>
      <w:r>
        <w:rPr>
          <w:sz w:val="20"/>
          <w:szCs w:val="20"/>
        </w:rPr>
        <w:t xml:space="preserve">Nathan MacDonald, </w:t>
      </w:r>
      <w:r>
        <w:rPr>
          <w:i/>
          <w:iCs/>
          <w:sz w:val="20"/>
          <w:szCs w:val="20"/>
        </w:rPr>
        <w:t>Deuteronomy and the Meaning of "Monotheism,"</w:t>
      </w:r>
      <w:r>
        <w:rPr>
          <w:sz w:val="20"/>
          <w:szCs w:val="20"/>
        </w:rPr>
        <w:t xml:space="preserve"> </w:t>
      </w:r>
      <w:proofErr w:type="spellStart"/>
      <w:r>
        <w:rPr>
          <w:sz w:val="20"/>
          <w:szCs w:val="20"/>
        </w:rPr>
        <w:t>Forschungen</w:t>
      </w:r>
      <w:proofErr w:type="spellEnd"/>
      <w:r>
        <w:rPr>
          <w:sz w:val="20"/>
          <w:szCs w:val="20"/>
        </w:rPr>
        <w:t xml:space="preserve"> </w:t>
      </w:r>
      <w:proofErr w:type="spellStart"/>
      <w:r>
        <w:rPr>
          <w:sz w:val="20"/>
          <w:szCs w:val="20"/>
        </w:rPr>
        <w:t>zum</w:t>
      </w:r>
      <w:proofErr w:type="spellEnd"/>
      <w:r>
        <w:rPr>
          <w:sz w:val="20"/>
          <w:szCs w:val="20"/>
        </w:rPr>
        <w:t xml:space="preserve"> </w:t>
      </w:r>
      <w:proofErr w:type="spellStart"/>
      <w:r>
        <w:rPr>
          <w:sz w:val="20"/>
          <w:szCs w:val="20"/>
        </w:rPr>
        <w:t>Alten</w:t>
      </w:r>
      <w:proofErr w:type="spellEnd"/>
      <w:r>
        <w:rPr>
          <w:sz w:val="20"/>
          <w:szCs w:val="20"/>
        </w:rPr>
        <w:t xml:space="preserve"> Testament 2/1 (Tübingen: Mohr Siebeck, 2003).</w:t>
      </w:r>
    </w:p>
  </w:footnote>
  <w:footnote w:id="3">
    <w:p w14:paraId="708ED65E" w14:textId="77777777" w:rsidR="002349D1" w:rsidRDefault="00000000">
      <w:r>
        <w:rPr>
          <w:rStyle w:val="FootnoteReference"/>
        </w:rPr>
        <w:footnoteRef/>
      </w:r>
      <w:r>
        <w:rPr>
          <w:sz w:val="20"/>
          <w:szCs w:val="20"/>
        </w:rPr>
        <w:t xml:space="preserve">R. W. L. Moberly, "'Yahweh Is One': The Translation of the Shema," in </w:t>
      </w:r>
      <w:r>
        <w:rPr>
          <w:i/>
          <w:iCs/>
          <w:sz w:val="20"/>
          <w:szCs w:val="20"/>
        </w:rPr>
        <w:t>Studies in the Pentateuch</w:t>
      </w:r>
      <w:r>
        <w:rPr>
          <w:sz w:val="20"/>
          <w:szCs w:val="20"/>
        </w:rPr>
        <w:t xml:space="preserve">, ed. J. A. Emerton, Supplements to </w:t>
      </w:r>
      <w:proofErr w:type="spellStart"/>
      <w:r>
        <w:rPr>
          <w:sz w:val="20"/>
          <w:szCs w:val="20"/>
        </w:rPr>
        <w:t>Vetus</w:t>
      </w:r>
      <w:proofErr w:type="spellEnd"/>
      <w:r>
        <w:rPr>
          <w:sz w:val="20"/>
          <w:szCs w:val="20"/>
        </w:rPr>
        <w:t xml:space="preserve"> </w:t>
      </w:r>
      <w:proofErr w:type="spellStart"/>
      <w:r>
        <w:rPr>
          <w:sz w:val="20"/>
          <w:szCs w:val="20"/>
        </w:rPr>
        <w:t>Testamentum</w:t>
      </w:r>
      <w:proofErr w:type="spellEnd"/>
      <w:r>
        <w:rPr>
          <w:sz w:val="20"/>
          <w:szCs w:val="20"/>
        </w:rPr>
        <w:t xml:space="preserve"> 41 (Leiden: Brill, 1990), 209–15.</w:t>
      </w:r>
    </w:p>
  </w:footnote>
  <w:footnote w:id="4">
    <w:p w14:paraId="32C2D2B4" w14:textId="77777777" w:rsidR="002349D1" w:rsidRDefault="00000000">
      <w:r>
        <w:rPr>
          <w:rStyle w:val="FootnoteReference"/>
        </w:rPr>
        <w:footnoteRef/>
      </w:r>
      <w:r>
        <w:rPr>
          <w:sz w:val="20"/>
          <w:szCs w:val="20"/>
        </w:rPr>
        <w:t xml:space="preserve">Paul Thom, </w:t>
      </w:r>
      <w:r>
        <w:rPr>
          <w:i/>
          <w:iCs/>
          <w:sz w:val="20"/>
          <w:szCs w:val="20"/>
        </w:rPr>
        <w:t>The Logic of the Trinity: Augustine to Ockham</w:t>
      </w:r>
      <w:r>
        <w:rPr>
          <w:sz w:val="20"/>
          <w:szCs w:val="20"/>
        </w:rPr>
        <w:t xml:space="preserve"> (New York: Fordham University Press, 2012); Joshua Sijuwade, "The Logical Problem of the Trinity: A New Solution," </w:t>
      </w:r>
      <w:r>
        <w:rPr>
          <w:i/>
          <w:iCs/>
          <w:sz w:val="20"/>
          <w:szCs w:val="20"/>
        </w:rPr>
        <w:t>Religions</w:t>
      </w:r>
      <w:r>
        <w:rPr>
          <w:sz w:val="20"/>
          <w:szCs w:val="20"/>
        </w:rPr>
        <w:t xml:space="preserve"> 13, no. 9 (2022): 809, https://doi.org/10.3390/rel13090809.</w:t>
      </w:r>
    </w:p>
  </w:footnote>
  <w:footnote w:id="5">
    <w:p w14:paraId="771A1549" w14:textId="77777777" w:rsidR="002349D1" w:rsidRDefault="00000000">
      <w:r>
        <w:rPr>
          <w:rStyle w:val="FootnoteReference"/>
        </w:rPr>
        <w:footnoteRef/>
      </w:r>
      <w:r>
        <w:rPr>
          <w:sz w:val="20"/>
          <w:szCs w:val="20"/>
        </w:rPr>
        <w:t xml:space="preserve">Richard Campbell, "Divine Simplicity, Divine Relations, and the Problem of Robust Persons," </w:t>
      </w:r>
      <w:r>
        <w:rPr>
          <w:i/>
          <w:iCs/>
          <w:sz w:val="20"/>
          <w:szCs w:val="20"/>
        </w:rPr>
        <w:t>Religions</w:t>
      </w:r>
      <w:r>
        <w:rPr>
          <w:sz w:val="20"/>
          <w:szCs w:val="20"/>
        </w:rPr>
        <w:t xml:space="preserve"> 15, no. 7 (2024): 874, https://doi.org/10.3390/rel15070874.</w:t>
      </w:r>
    </w:p>
  </w:footnote>
  <w:footnote w:id="6">
    <w:p w14:paraId="3EAF7FD0" w14:textId="77777777" w:rsidR="002349D1" w:rsidRPr="005E2878" w:rsidRDefault="00000000">
      <w:pPr>
        <w:rPr>
          <w:lang w:val="pt-BR"/>
        </w:rPr>
      </w:pPr>
      <w:r>
        <w:rPr>
          <w:rStyle w:val="FootnoteReference"/>
        </w:rPr>
        <w:footnoteRef/>
      </w:r>
      <w:r w:rsidRPr="005E2878">
        <w:rPr>
          <w:sz w:val="20"/>
          <w:szCs w:val="20"/>
          <w:lang w:val="pt-BR"/>
        </w:rPr>
        <w:t xml:space="preserve">Thomas Aquinas, </w:t>
      </w:r>
      <w:r w:rsidRPr="005E2878">
        <w:rPr>
          <w:i/>
          <w:iCs/>
          <w:sz w:val="20"/>
          <w:szCs w:val="20"/>
          <w:lang w:val="pt-BR"/>
        </w:rPr>
        <w:t>Summa Theologiae</w:t>
      </w:r>
      <w:r w:rsidRPr="005E2878">
        <w:rPr>
          <w:sz w:val="20"/>
          <w:szCs w:val="20"/>
          <w:lang w:val="pt-BR"/>
        </w:rPr>
        <w:t xml:space="preserve"> I, q. 28, a. 3.</w:t>
      </w:r>
    </w:p>
  </w:footnote>
  <w:footnote w:id="7">
    <w:p w14:paraId="6DC736C9" w14:textId="77777777" w:rsidR="002349D1" w:rsidRDefault="00000000">
      <w:r>
        <w:rPr>
          <w:rStyle w:val="FootnoteReference"/>
        </w:rPr>
        <w:footnoteRef/>
      </w:r>
      <w:r>
        <w:rPr>
          <w:sz w:val="20"/>
          <w:szCs w:val="20"/>
        </w:rPr>
        <w:t xml:space="preserve">Richard Bauckham, </w:t>
      </w:r>
      <w:r>
        <w:rPr>
          <w:i/>
          <w:iCs/>
          <w:sz w:val="20"/>
          <w:szCs w:val="20"/>
        </w:rPr>
        <w:t>Jesus and the God of Israel: God Crucified and Other Studies on the New Testament's Christology of Divine Identity</w:t>
      </w:r>
      <w:r>
        <w:rPr>
          <w:sz w:val="20"/>
          <w:szCs w:val="20"/>
        </w:rPr>
        <w:t xml:space="preserve"> (Grand Rapids: Eerdmans, 2008).</w:t>
      </w:r>
    </w:p>
  </w:footnote>
  <w:footnote w:id="8">
    <w:p w14:paraId="0E8DB043" w14:textId="77777777" w:rsidR="002349D1" w:rsidRDefault="00000000">
      <w:r>
        <w:rPr>
          <w:rStyle w:val="FootnoteReference"/>
        </w:rPr>
        <w:footnoteRef/>
      </w:r>
      <w:r>
        <w:rPr>
          <w:sz w:val="20"/>
          <w:szCs w:val="20"/>
        </w:rPr>
        <w:t xml:space="preserve">Block, "How Many Is </w:t>
      </w:r>
      <w:proofErr w:type="gramStart"/>
      <w:r>
        <w:rPr>
          <w:sz w:val="20"/>
          <w:szCs w:val="20"/>
        </w:rPr>
        <w:t>God?,</w:t>
      </w:r>
      <w:proofErr w:type="gramEnd"/>
      <w:r>
        <w:rPr>
          <w:sz w:val="20"/>
          <w:szCs w:val="20"/>
        </w:rPr>
        <w:t>" 193–212.</w:t>
      </w:r>
    </w:p>
  </w:footnote>
  <w:footnote w:id="9">
    <w:p w14:paraId="6CAFBBE6" w14:textId="77777777" w:rsidR="002349D1" w:rsidRDefault="00000000">
      <w:r>
        <w:rPr>
          <w:rStyle w:val="FootnoteReference"/>
        </w:rPr>
        <w:footnoteRef/>
      </w:r>
      <w:r>
        <w:rPr>
          <w:sz w:val="20"/>
          <w:szCs w:val="20"/>
        </w:rPr>
        <w:t xml:space="preserve">William L. Moran, "The Ancient Near Eastern Background of the Love of God in Deuteronomy," </w:t>
      </w:r>
      <w:r>
        <w:rPr>
          <w:i/>
          <w:iCs/>
          <w:sz w:val="20"/>
          <w:szCs w:val="20"/>
        </w:rPr>
        <w:t>Catholic Biblical Quarterly</w:t>
      </w:r>
      <w:r>
        <w:rPr>
          <w:sz w:val="20"/>
          <w:szCs w:val="20"/>
        </w:rPr>
        <w:t xml:space="preserve"> 25, no. 1 (1963): 77–87.</w:t>
      </w:r>
    </w:p>
  </w:footnote>
  <w:footnote w:id="10">
    <w:p w14:paraId="2CC86449" w14:textId="77777777" w:rsidR="002349D1" w:rsidRDefault="00000000">
      <w:r>
        <w:rPr>
          <w:rStyle w:val="FootnoteReference"/>
        </w:rPr>
        <w:footnoteRef/>
      </w:r>
      <w:r>
        <w:rPr>
          <w:sz w:val="20"/>
          <w:szCs w:val="20"/>
        </w:rPr>
        <w:t xml:space="preserve">Moshe Weinfeld, </w:t>
      </w:r>
      <w:r>
        <w:rPr>
          <w:i/>
          <w:iCs/>
          <w:sz w:val="20"/>
          <w:szCs w:val="20"/>
        </w:rPr>
        <w:t>Deuteronomy 1–11</w:t>
      </w:r>
      <w:r>
        <w:rPr>
          <w:sz w:val="20"/>
          <w:szCs w:val="20"/>
        </w:rPr>
        <w:t>, Anchor Bible 5 (New York: Doubleday, 1991).</w:t>
      </w:r>
    </w:p>
  </w:footnote>
  <w:footnote w:id="11">
    <w:p w14:paraId="1EBC1692" w14:textId="77777777" w:rsidR="002349D1" w:rsidRDefault="00000000">
      <w:r>
        <w:rPr>
          <w:rStyle w:val="FootnoteReference"/>
        </w:rPr>
        <w:footnoteRef/>
      </w:r>
      <w:r>
        <w:rPr>
          <w:sz w:val="20"/>
          <w:szCs w:val="20"/>
        </w:rPr>
        <w:t xml:space="preserve">MacDonald, </w:t>
      </w:r>
      <w:r>
        <w:rPr>
          <w:i/>
          <w:iCs/>
          <w:sz w:val="20"/>
          <w:szCs w:val="20"/>
        </w:rPr>
        <w:t>Deuteronomy and the Meaning of "Monotheism."</w:t>
      </w:r>
    </w:p>
  </w:footnote>
  <w:footnote w:id="12">
    <w:p w14:paraId="30BA8E8B" w14:textId="77777777" w:rsidR="002349D1" w:rsidRDefault="00000000">
      <w:r>
        <w:rPr>
          <w:rStyle w:val="FootnoteReference"/>
        </w:rPr>
        <w:footnoteRef/>
      </w:r>
      <w:r>
        <w:rPr>
          <w:sz w:val="20"/>
          <w:szCs w:val="20"/>
        </w:rPr>
        <w:t xml:space="preserve">See, for example, Anthony F. Buzzard and Charles F. Hunting, </w:t>
      </w:r>
      <w:r>
        <w:rPr>
          <w:i/>
          <w:iCs/>
          <w:sz w:val="20"/>
          <w:szCs w:val="20"/>
        </w:rPr>
        <w:t>The Doctrine of the Trinity: Christianity's Self-Inflicted Wound</w:t>
      </w:r>
      <w:r>
        <w:rPr>
          <w:sz w:val="20"/>
          <w:szCs w:val="20"/>
        </w:rPr>
        <w:t xml:space="preserve"> (Lanham, MD: International Scholars Publications, 1998).</w:t>
      </w:r>
    </w:p>
  </w:footnote>
  <w:footnote w:id="13">
    <w:p w14:paraId="7FFB4A7A" w14:textId="77777777" w:rsidR="002349D1" w:rsidRDefault="00000000">
      <w:r>
        <w:rPr>
          <w:rStyle w:val="FootnoteReference"/>
        </w:rPr>
        <w:footnoteRef/>
      </w:r>
      <w:r>
        <w:rPr>
          <w:sz w:val="20"/>
          <w:szCs w:val="20"/>
        </w:rPr>
        <w:t xml:space="preserve">Bauckham, </w:t>
      </w:r>
      <w:r>
        <w:rPr>
          <w:i/>
          <w:iCs/>
          <w:sz w:val="20"/>
          <w:szCs w:val="20"/>
        </w:rPr>
        <w:t>Jesus and the God of Israel</w:t>
      </w:r>
      <w:r>
        <w:rPr>
          <w:sz w:val="20"/>
          <w:szCs w:val="20"/>
        </w:rPr>
        <w:t>, chap. 1.</w:t>
      </w:r>
    </w:p>
  </w:footnote>
  <w:footnote w:id="14">
    <w:p w14:paraId="66651E4F" w14:textId="77777777" w:rsidR="002349D1" w:rsidRDefault="00000000">
      <w:r>
        <w:rPr>
          <w:rStyle w:val="FootnoteReference"/>
        </w:rPr>
        <w:footnoteRef/>
      </w:r>
      <w:r>
        <w:rPr>
          <w:sz w:val="20"/>
          <w:szCs w:val="20"/>
        </w:rPr>
        <w:t xml:space="preserve">N. T. Wright, </w:t>
      </w:r>
      <w:r>
        <w:rPr>
          <w:i/>
          <w:iCs/>
          <w:sz w:val="20"/>
          <w:szCs w:val="20"/>
        </w:rPr>
        <w:t>The Climax of the Covenant: Christ and the Law in Pauline Theology</w:t>
      </w:r>
      <w:r>
        <w:rPr>
          <w:sz w:val="20"/>
          <w:szCs w:val="20"/>
        </w:rPr>
        <w:t xml:space="preserve"> (Minneapolis: Fortress, 1992), chap. 6; Bauckham, </w:t>
      </w:r>
      <w:r>
        <w:rPr>
          <w:i/>
          <w:iCs/>
          <w:sz w:val="20"/>
          <w:szCs w:val="20"/>
        </w:rPr>
        <w:t>Jesus and the God of Israel</w:t>
      </w:r>
      <w:r>
        <w:rPr>
          <w:sz w:val="20"/>
          <w:szCs w:val="20"/>
        </w:rPr>
        <w:t>.</w:t>
      </w:r>
    </w:p>
  </w:footnote>
  <w:footnote w:id="15">
    <w:p w14:paraId="50489D6E" w14:textId="77777777" w:rsidR="002349D1" w:rsidRDefault="00000000">
      <w:r>
        <w:rPr>
          <w:rStyle w:val="FootnoteReference"/>
        </w:rPr>
        <w:footnoteRef/>
      </w:r>
      <w:r>
        <w:rPr>
          <w:sz w:val="20"/>
          <w:szCs w:val="20"/>
        </w:rPr>
        <w:t xml:space="preserve">Larry W. Hurtado, </w:t>
      </w:r>
      <w:r>
        <w:rPr>
          <w:i/>
          <w:iCs/>
          <w:sz w:val="20"/>
          <w:szCs w:val="20"/>
        </w:rPr>
        <w:t>One God, One Lord: Early Christian Devotion and Ancient Jewish Monotheism</w:t>
      </w:r>
      <w:r>
        <w:rPr>
          <w:sz w:val="20"/>
          <w:szCs w:val="20"/>
        </w:rPr>
        <w:t xml:space="preserve"> (Philadelphia: Fortress, 1988).</w:t>
      </w:r>
    </w:p>
  </w:footnote>
  <w:footnote w:id="16">
    <w:p w14:paraId="0CCC71E9" w14:textId="77777777" w:rsidR="002349D1" w:rsidRDefault="00000000">
      <w:r>
        <w:rPr>
          <w:rStyle w:val="FootnoteReference"/>
        </w:rPr>
        <w:footnoteRef/>
      </w:r>
      <w:r>
        <w:rPr>
          <w:sz w:val="20"/>
          <w:szCs w:val="20"/>
        </w:rPr>
        <w:t xml:space="preserve">Bauckham, </w:t>
      </w:r>
      <w:r>
        <w:rPr>
          <w:i/>
          <w:iCs/>
          <w:sz w:val="20"/>
          <w:szCs w:val="20"/>
        </w:rPr>
        <w:t>Jesus and the God of Israel</w:t>
      </w:r>
      <w:r>
        <w:rPr>
          <w:sz w:val="20"/>
          <w:szCs w:val="20"/>
        </w:rPr>
        <w:t>.</w:t>
      </w:r>
    </w:p>
  </w:footnote>
  <w:footnote w:id="17">
    <w:p w14:paraId="1A3AAF2B" w14:textId="77777777" w:rsidR="002349D1" w:rsidRDefault="00000000">
      <w:r>
        <w:rPr>
          <w:rStyle w:val="FootnoteReference"/>
        </w:rPr>
        <w:footnoteRef/>
      </w:r>
      <w:r>
        <w:rPr>
          <w:sz w:val="20"/>
          <w:szCs w:val="20"/>
        </w:rPr>
        <w:t xml:space="preserve">Thom, </w:t>
      </w:r>
      <w:r>
        <w:rPr>
          <w:i/>
          <w:iCs/>
          <w:sz w:val="20"/>
          <w:szCs w:val="20"/>
        </w:rPr>
        <w:t>Logic of the Trinity</w:t>
      </w:r>
      <w:r>
        <w:rPr>
          <w:sz w:val="20"/>
          <w:szCs w:val="20"/>
        </w:rPr>
        <w:t>.</w:t>
      </w:r>
    </w:p>
  </w:footnote>
  <w:footnote w:id="18">
    <w:p w14:paraId="585ECEF3" w14:textId="77777777" w:rsidR="002349D1" w:rsidRDefault="00000000">
      <w:r>
        <w:rPr>
          <w:rStyle w:val="FootnoteReference"/>
        </w:rPr>
        <w:footnoteRef/>
      </w:r>
      <w:r>
        <w:rPr>
          <w:sz w:val="20"/>
          <w:szCs w:val="20"/>
        </w:rPr>
        <w:t xml:space="preserve">Sijuwade, "Logical Problem of the Trinity"; Joshua Sijuwade, "Conciliar Trinitarianism: A Philosophical Analysis," </w:t>
      </w:r>
      <w:proofErr w:type="spellStart"/>
      <w:r>
        <w:rPr>
          <w:i/>
          <w:iCs/>
          <w:sz w:val="20"/>
          <w:szCs w:val="20"/>
        </w:rPr>
        <w:t>Heythrop</w:t>
      </w:r>
      <w:proofErr w:type="spellEnd"/>
      <w:r>
        <w:rPr>
          <w:i/>
          <w:iCs/>
          <w:sz w:val="20"/>
          <w:szCs w:val="20"/>
        </w:rPr>
        <w:t xml:space="preserve"> Journal</w:t>
      </w:r>
      <w:r>
        <w:rPr>
          <w:sz w:val="20"/>
          <w:szCs w:val="20"/>
        </w:rPr>
        <w:t xml:space="preserve"> (2025), https://doi.org/10.1111/heyj.14459.</w:t>
      </w:r>
    </w:p>
  </w:footnote>
  <w:footnote w:id="19">
    <w:p w14:paraId="4836214F" w14:textId="77777777" w:rsidR="002349D1" w:rsidRDefault="00000000">
      <w:r>
        <w:rPr>
          <w:rStyle w:val="FootnoteReference"/>
        </w:rPr>
        <w:footnoteRef/>
      </w:r>
      <w:r>
        <w:rPr>
          <w:sz w:val="20"/>
          <w:szCs w:val="20"/>
        </w:rPr>
        <w:t xml:space="preserve">Alister E. McGrath, "The Doctrine of the Trinity: Intellectual Construct or Ontological Reality? Reflections from the Philosophy of Science," </w:t>
      </w:r>
      <w:r>
        <w:rPr>
          <w:i/>
          <w:iCs/>
          <w:sz w:val="20"/>
          <w:szCs w:val="20"/>
        </w:rPr>
        <w:t>International Journal of Systematic Theology</w:t>
      </w:r>
      <w:r>
        <w:rPr>
          <w:sz w:val="20"/>
          <w:szCs w:val="20"/>
        </w:rPr>
        <w:t xml:space="preserve"> (2022), https://doi.org/10.1111/ijst.12612.</w:t>
      </w:r>
    </w:p>
  </w:footnote>
  <w:footnote w:id="20">
    <w:p w14:paraId="5FA8B627" w14:textId="77777777" w:rsidR="002349D1" w:rsidRDefault="00000000">
      <w:r>
        <w:rPr>
          <w:rStyle w:val="FootnoteReference"/>
        </w:rPr>
        <w:footnoteRef/>
      </w:r>
      <w:r>
        <w:rPr>
          <w:sz w:val="20"/>
          <w:szCs w:val="20"/>
        </w:rPr>
        <w:t xml:space="preserve">Augustine, </w:t>
      </w:r>
      <w:r>
        <w:rPr>
          <w:i/>
          <w:iCs/>
          <w:sz w:val="20"/>
          <w:szCs w:val="20"/>
        </w:rPr>
        <w:t xml:space="preserve">De </w:t>
      </w:r>
      <w:proofErr w:type="spellStart"/>
      <w:r>
        <w:rPr>
          <w:i/>
          <w:iCs/>
          <w:sz w:val="20"/>
          <w:szCs w:val="20"/>
        </w:rPr>
        <w:t>Trinitate</w:t>
      </w:r>
      <w:proofErr w:type="spellEnd"/>
      <w:r>
        <w:rPr>
          <w:sz w:val="20"/>
          <w:szCs w:val="20"/>
        </w:rPr>
        <w:t xml:space="preserve"> 5.9.10.</w:t>
      </w:r>
    </w:p>
  </w:footnote>
  <w:footnote w:id="21">
    <w:p w14:paraId="6660E9EE" w14:textId="77777777" w:rsidR="002349D1" w:rsidRDefault="00000000">
      <w:r>
        <w:rPr>
          <w:rStyle w:val="FootnoteReference"/>
        </w:rPr>
        <w:footnoteRef/>
      </w:r>
      <w:r>
        <w:rPr>
          <w:sz w:val="20"/>
          <w:szCs w:val="20"/>
        </w:rPr>
        <w:t>Campbell, "Divine Simplicity, Divine Relations."</w:t>
      </w:r>
    </w:p>
  </w:footnote>
  <w:footnote w:id="22">
    <w:p w14:paraId="2EFB41A7" w14:textId="77777777" w:rsidR="002349D1" w:rsidRDefault="00000000">
      <w:r>
        <w:rPr>
          <w:rStyle w:val="FootnoteReference"/>
        </w:rPr>
        <w:footnoteRef/>
      </w:r>
      <w:r>
        <w:rPr>
          <w:sz w:val="20"/>
          <w:szCs w:val="20"/>
        </w:rPr>
        <w:t xml:space="preserve">Wesley Hill, "Divine Persons and Their 'Reduction' to Relations: A Plea for Conceptual Clarity," </w:t>
      </w:r>
      <w:r>
        <w:rPr>
          <w:i/>
          <w:iCs/>
          <w:sz w:val="20"/>
          <w:szCs w:val="20"/>
        </w:rPr>
        <w:t>International Journal of Systematic Theology</w:t>
      </w:r>
      <w:r>
        <w:rPr>
          <w:sz w:val="20"/>
          <w:szCs w:val="20"/>
        </w:rPr>
        <w:t xml:space="preserve"> 14 (2012): 148–60, https://doi.org/10.1111/j.1468-2400.2011.00602.x.</w:t>
      </w:r>
    </w:p>
  </w:footnote>
  <w:footnote w:id="23">
    <w:p w14:paraId="7812769C" w14:textId="77777777" w:rsidR="002349D1" w:rsidRPr="005E2878" w:rsidRDefault="00000000">
      <w:pPr>
        <w:rPr>
          <w:lang w:val="pt-BR"/>
        </w:rPr>
      </w:pPr>
      <w:r>
        <w:rPr>
          <w:rStyle w:val="FootnoteReference"/>
        </w:rPr>
        <w:footnoteRef/>
      </w:r>
      <w:r w:rsidRPr="005E2878">
        <w:rPr>
          <w:sz w:val="20"/>
          <w:szCs w:val="20"/>
          <w:lang w:val="pt-BR"/>
        </w:rPr>
        <w:t xml:space="preserve">Aquinas, </w:t>
      </w:r>
      <w:r w:rsidRPr="005E2878">
        <w:rPr>
          <w:i/>
          <w:iCs/>
          <w:sz w:val="20"/>
          <w:szCs w:val="20"/>
          <w:lang w:val="pt-BR"/>
        </w:rPr>
        <w:t>Summa Theologiae</w:t>
      </w:r>
      <w:r w:rsidRPr="005E2878">
        <w:rPr>
          <w:sz w:val="20"/>
          <w:szCs w:val="20"/>
          <w:lang w:val="pt-BR"/>
        </w:rPr>
        <w:t xml:space="preserve"> I, q. 28, a. 3; I, q. 39, a. 1.</w:t>
      </w:r>
    </w:p>
  </w:footnote>
  <w:footnote w:id="24">
    <w:p w14:paraId="775D41CB" w14:textId="77777777" w:rsidR="002349D1" w:rsidRDefault="00000000">
      <w:r>
        <w:rPr>
          <w:rStyle w:val="FootnoteReference"/>
        </w:rPr>
        <w:footnoteRef/>
      </w:r>
      <w:r>
        <w:rPr>
          <w:sz w:val="20"/>
          <w:szCs w:val="20"/>
        </w:rPr>
        <w:t>Scott M. Williams, "</w:t>
      </w:r>
      <w:proofErr w:type="spellStart"/>
      <w:r>
        <w:rPr>
          <w:sz w:val="20"/>
          <w:szCs w:val="20"/>
        </w:rPr>
        <w:t>Indexicals</w:t>
      </w:r>
      <w:proofErr w:type="spellEnd"/>
      <w:r>
        <w:rPr>
          <w:sz w:val="20"/>
          <w:szCs w:val="20"/>
        </w:rPr>
        <w:t xml:space="preserve"> and the Trinity: Two Non-Social Models," </w:t>
      </w:r>
      <w:r>
        <w:rPr>
          <w:i/>
          <w:iCs/>
          <w:sz w:val="20"/>
          <w:szCs w:val="20"/>
        </w:rPr>
        <w:t>Journal of Analytic Theology</w:t>
      </w:r>
      <w:r>
        <w:rPr>
          <w:sz w:val="20"/>
          <w:szCs w:val="20"/>
        </w:rPr>
        <w:t xml:space="preserve"> 1 (2013): 74–94, https://doi.org/10.12978/jat.2013-1.180219220818a.</w:t>
      </w:r>
    </w:p>
  </w:footnote>
  <w:footnote w:id="25">
    <w:p w14:paraId="4FB20427" w14:textId="77777777" w:rsidR="002349D1" w:rsidRDefault="00000000">
      <w:r>
        <w:rPr>
          <w:rStyle w:val="FootnoteReference"/>
        </w:rPr>
        <w:footnoteRef/>
      </w:r>
      <w:r>
        <w:rPr>
          <w:sz w:val="20"/>
          <w:szCs w:val="20"/>
        </w:rPr>
        <w:t xml:space="preserve">Michael C. Rea, "Relative Identity and the Doctrine of the Trinity," </w:t>
      </w:r>
      <w:r>
        <w:rPr>
          <w:i/>
          <w:iCs/>
          <w:sz w:val="20"/>
          <w:szCs w:val="20"/>
        </w:rPr>
        <w:t>Philosophia Christi</w:t>
      </w:r>
      <w:r>
        <w:rPr>
          <w:sz w:val="20"/>
          <w:szCs w:val="20"/>
        </w:rPr>
        <w:t xml:space="preserve"> 5, no. 2 (2003): 431–45, https://doi.org/10.5840/pc20035247.</w:t>
      </w:r>
    </w:p>
  </w:footnote>
  <w:footnote w:id="26">
    <w:p w14:paraId="7B562C4C" w14:textId="77777777" w:rsidR="002349D1" w:rsidRDefault="00000000">
      <w:r>
        <w:rPr>
          <w:rStyle w:val="FootnoteReference"/>
        </w:rPr>
        <w:footnoteRef/>
      </w:r>
      <w:r>
        <w:rPr>
          <w:sz w:val="20"/>
          <w:szCs w:val="20"/>
        </w:rPr>
        <w:t xml:space="preserve">Dale Tuggy, "The Unfinished Business of Trinitarian Theorizing," </w:t>
      </w:r>
      <w:r>
        <w:rPr>
          <w:i/>
          <w:iCs/>
          <w:sz w:val="20"/>
          <w:szCs w:val="20"/>
        </w:rPr>
        <w:t>Religious Studies</w:t>
      </w:r>
      <w:r>
        <w:rPr>
          <w:sz w:val="20"/>
          <w:szCs w:val="20"/>
        </w:rPr>
        <w:t xml:space="preserve"> 39, no. 2 (2003): 165–83, https://doi.org/10.1017/S0034412503006437.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2C77B6"/>
    <w:multiLevelType w:val="hybridMultilevel"/>
    <w:tmpl w:val="AD484854"/>
    <w:lvl w:ilvl="0" w:tplc="166C936E">
      <w:start w:val="1"/>
      <w:numFmt w:val="bullet"/>
      <w:lvlText w:val="●"/>
      <w:lvlJc w:val="left"/>
      <w:pPr>
        <w:ind w:left="720" w:hanging="360"/>
      </w:pPr>
    </w:lvl>
    <w:lvl w:ilvl="1" w:tplc="67A21760">
      <w:start w:val="1"/>
      <w:numFmt w:val="bullet"/>
      <w:lvlText w:val="○"/>
      <w:lvlJc w:val="left"/>
      <w:pPr>
        <w:ind w:left="1440" w:hanging="360"/>
      </w:pPr>
    </w:lvl>
    <w:lvl w:ilvl="2" w:tplc="341EEF8E">
      <w:start w:val="1"/>
      <w:numFmt w:val="bullet"/>
      <w:lvlText w:val="■"/>
      <w:lvlJc w:val="left"/>
      <w:pPr>
        <w:ind w:left="2160" w:hanging="360"/>
      </w:pPr>
    </w:lvl>
    <w:lvl w:ilvl="3" w:tplc="CCE617A4">
      <w:start w:val="1"/>
      <w:numFmt w:val="bullet"/>
      <w:lvlText w:val="●"/>
      <w:lvlJc w:val="left"/>
      <w:pPr>
        <w:ind w:left="2880" w:hanging="360"/>
      </w:pPr>
    </w:lvl>
    <w:lvl w:ilvl="4" w:tplc="422E666E">
      <w:start w:val="1"/>
      <w:numFmt w:val="bullet"/>
      <w:lvlText w:val="○"/>
      <w:lvlJc w:val="left"/>
      <w:pPr>
        <w:ind w:left="3600" w:hanging="360"/>
      </w:pPr>
    </w:lvl>
    <w:lvl w:ilvl="5" w:tplc="101E8BD2">
      <w:start w:val="1"/>
      <w:numFmt w:val="bullet"/>
      <w:lvlText w:val="■"/>
      <w:lvlJc w:val="left"/>
      <w:pPr>
        <w:ind w:left="4320" w:hanging="360"/>
      </w:pPr>
    </w:lvl>
    <w:lvl w:ilvl="6" w:tplc="5862F8B0">
      <w:start w:val="1"/>
      <w:numFmt w:val="bullet"/>
      <w:lvlText w:val="●"/>
      <w:lvlJc w:val="left"/>
      <w:pPr>
        <w:ind w:left="5040" w:hanging="360"/>
      </w:pPr>
    </w:lvl>
    <w:lvl w:ilvl="7" w:tplc="F91A0A40">
      <w:start w:val="1"/>
      <w:numFmt w:val="bullet"/>
      <w:lvlText w:val="●"/>
      <w:lvlJc w:val="left"/>
      <w:pPr>
        <w:ind w:left="5760" w:hanging="360"/>
      </w:pPr>
    </w:lvl>
    <w:lvl w:ilvl="8" w:tplc="8D0A5962">
      <w:start w:val="1"/>
      <w:numFmt w:val="bullet"/>
      <w:lvlText w:val="●"/>
      <w:lvlJc w:val="left"/>
      <w:pPr>
        <w:ind w:left="6480" w:hanging="360"/>
      </w:pPr>
    </w:lvl>
  </w:abstractNum>
  <w:num w:numId="1" w16cid:durableId="8415101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9D1"/>
    <w:rsid w:val="00186B52"/>
    <w:rsid w:val="002349D1"/>
    <w:rsid w:val="003F4804"/>
    <w:rsid w:val="004379F4"/>
    <w:rsid w:val="00457CAA"/>
    <w:rsid w:val="004C1345"/>
    <w:rsid w:val="004F1E4B"/>
    <w:rsid w:val="005D0DDE"/>
    <w:rsid w:val="005E2878"/>
    <w:rsid w:val="00675A79"/>
    <w:rsid w:val="00866B87"/>
    <w:rsid w:val="00940737"/>
    <w:rsid w:val="00974B84"/>
    <w:rsid w:val="00BC5E94"/>
    <w:rsid w:val="00CE7733"/>
    <w:rsid w:val="00D244ED"/>
    <w:rsid w:val="00D3004D"/>
    <w:rsid w:val="00DA6A42"/>
    <w:rsid w:val="00F80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7A31B"/>
  <w15:docId w15:val="{EB57467C-EDCD-46D1-B4A3-12217A6CD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Palatino Linotype" w:hAnsi="Palatino Linotype" w:cs="Palatino Linotype"/>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outlineLvl w:val="0"/>
    </w:pPr>
    <w:rPr>
      <w:b/>
      <w:bCs/>
      <w:sz w:val="26"/>
      <w:szCs w:val="26"/>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pPr>
      <w:spacing w:after="80"/>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15</Pages>
  <Words>3931</Words>
  <Characters>22411</Characters>
  <Application>Microsoft Office Word</Application>
  <DocSecurity>0</DocSecurity>
  <Lines>186</Lines>
  <Paragraphs>52</Paragraphs>
  <ScaleCrop>false</ScaleCrop>
  <Company/>
  <LinksUpToDate>false</LinksUpToDate>
  <CharactersWithSpaces>26290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Hear, O Israel: The Shema, Covenant Loyalty, and the Logic of the Trinity</dc:title>
  <dc:creator>Dan Williams</dc:creator>
  <cp:lastModifiedBy>Daniel Williams</cp:lastModifiedBy>
  <cp:revision>17</cp:revision>
  <dcterms:created xsi:type="dcterms:W3CDTF">2026-10-01T01:26:00Z</dcterms:created>
  <dcterms:modified xsi:type="dcterms:W3CDTF">2026-10-01T01:51:00Z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c121745cfba130eef2588ed1b2df1d4cc759546cab312e83bae53c6c6f351558</vt:lpwstr>
  </property>
</Properties>
</file>