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644199321"/>
        <w:docPartObj>
          <w:docPartGallery w:val="Cover Pages"/>
          <w:docPartUnique/>
        </w:docPartObj>
      </w:sdtPr>
      <w:sdtEndPr>
        <w:rPr>
          <w:b/>
          <w:bCs/>
        </w:rPr>
      </w:sdtEndPr>
      <w:sdtContent>
        <w:p w14:paraId="397F0EA0" w14:textId="597B5DE2" w:rsidR="00DE0C52" w:rsidRDefault="00DE0C52"/>
        <w:p w14:paraId="32137B85" w14:textId="551ABBB9" w:rsidR="00DE0C52" w:rsidRDefault="00DE0C52">
          <w:r>
            <w:rPr>
              <w:noProof/>
            </w:rPr>
            <mc:AlternateContent>
              <mc:Choice Requires="wps">
                <w:drawing>
                  <wp:anchor distT="0" distB="0" distL="114300" distR="114300" simplePos="0" relativeHeight="251661312" behindDoc="0" locked="0" layoutInCell="1" allowOverlap="1" wp14:anchorId="26657465" wp14:editId="7DA099CB">
                    <wp:simplePos x="0" y="0"/>
                    <mc:AlternateContent>
                      <mc:Choice Requires="wp14">
                        <wp:positionH relativeFrom="page">
                          <wp14:pctPosHOffset>15000</wp14:pctPosHOffset>
                        </wp:positionH>
                      </mc:Choice>
                      <mc:Fallback>
                        <wp:positionH relativeFrom="page">
                          <wp:posOffset>1165860</wp:posOffset>
                        </wp:positionH>
                      </mc:Fallback>
                    </mc:AlternateContent>
                    <mc:AlternateContent>
                      <mc:Choice Requires="wp14">
                        <wp:positionV relativeFrom="page">
                          <wp14:pctPosVOffset>83700</wp14:pctPosVOffset>
                        </wp:positionV>
                      </mc:Choice>
                      <mc:Fallback>
                        <wp:positionV relativeFrom="page">
                          <wp:posOffset>8418830</wp:posOffset>
                        </wp:positionV>
                      </mc:Fallback>
                    </mc:AlternateContent>
                    <wp:extent cx="5753100" cy="652780"/>
                    <wp:effectExtent l="0" t="0" r="10160" b="14605"/>
                    <wp:wrapSquare wrapText="bothSides"/>
                    <wp:docPr id="112" name="Text Box 112"/>
                    <wp:cNvGraphicFramePr/>
                    <a:graphic xmlns:a="http://schemas.openxmlformats.org/drawingml/2006/main">
                      <a:graphicData uri="http://schemas.microsoft.com/office/word/2010/wordprocessingShape">
                        <wps:wsp>
                          <wps:cNvSpPr txBox="1"/>
                          <wps:spPr>
                            <a:xfrm>
                              <a:off x="0" y="0"/>
                              <a:ext cx="5753100" cy="652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262626" w:themeColor="text1" w:themeTint="D9"/>
                                    <w:sz w:val="28"/>
                                    <w:szCs w:val="28"/>
                                  </w:rPr>
                                  <w:alias w:val="Author"/>
                                  <w:tag w:val=""/>
                                  <w:id w:val="1901796142"/>
                                  <w:dataBinding w:prefixMappings="xmlns:ns0='http://purl.org/dc/elements/1.1/' xmlns:ns1='http://schemas.openxmlformats.org/package/2006/metadata/core-properties' " w:xpath="/ns1:coreProperties[1]/ns0:creator[1]" w:storeItemID="{6C3C8BC8-F283-45AE-878A-BAB7291924A1}"/>
                                  <w:text/>
                                </w:sdtPr>
                                <w:sdtContent>
                                  <w:p w14:paraId="47621DC5" w14:textId="2436B345" w:rsidR="00DE0C52" w:rsidRDefault="00DE0C52">
                                    <w:pPr>
                                      <w:pStyle w:val="NoSpacing"/>
                                      <w:jc w:val="right"/>
                                      <w:rPr>
                                        <w:caps/>
                                        <w:color w:val="262626" w:themeColor="text1" w:themeTint="D9"/>
                                        <w:sz w:val="28"/>
                                        <w:szCs w:val="28"/>
                                      </w:rPr>
                                    </w:pPr>
                                    <w:r>
                                      <w:rPr>
                                        <w:caps/>
                                        <w:color w:val="262626" w:themeColor="text1" w:themeTint="D9"/>
                                        <w:sz w:val="28"/>
                                        <w:szCs w:val="28"/>
                                      </w:rPr>
                                      <w:t>daniel williams</w:t>
                                    </w:r>
                                  </w:p>
                                </w:sdtContent>
                              </w:sdt>
                              <w:p w14:paraId="1A1CE809" w14:textId="3D3B05FA" w:rsidR="00DE0C52" w:rsidRDefault="00000000">
                                <w:pPr>
                                  <w:pStyle w:val="NoSpacing"/>
                                  <w:jc w:val="right"/>
                                  <w:rPr>
                                    <w:caps/>
                                    <w:color w:val="262626" w:themeColor="text1" w:themeTint="D9"/>
                                    <w:sz w:val="20"/>
                                    <w:szCs w:val="20"/>
                                  </w:rPr>
                                </w:pPr>
                                <w:sdt>
                                  <w:sdtPr>
                                    <w:rPr>
                                      <w:caps/>
                                      <w:color w:val="262626" w:themeColor="text1" w:themeTint="D9"/>
                                      <w:sz w:val="20"/>
                                      <w:szCs w:val="20"/>
                                    </w:rPr>
                                    <w:alias w:val="Company"/>
                                    <w:tag w:val=""/>
                                    <w:id w:val="-661235724"/>
                                    <w:showingPlcHdr/>
                                    <w:dataBinding w:prefixMappings="xmlns:ns0='http://schemas.openxmlformats.org/officeDocument/2006/extended-properties' " w:xpath="/ns0:Properties[1]/ns0:Company[1]" w:storeItemID="{6668398D-A668-4E3E-A5EB-62B293D839F1}"/>
                                    <w:text/>
                                  </w:sdtPr>
                                  <w:sdtContent>
                                    <w:r>
                                      <w:rPr>
                                        <w:caps/>
                                        <w:color w:val="262626" w:themeColor="text1" w:themeTint="D9"/>
                                        <w:sz w:val="20"/>
                                        <w:szCs w:val="20"/>
                                      </w:rPr>
                                      <w:t xml:space="preserve">     </w:t>
                                    </w:r>
                                  </w:sdtContent>
                                </w:sdt>
                              </w:p>
                              <w:p w14:paraId="61FE5019" w14:textId="55831FFF" w:rsidR="00DE0C52" w:rsidRDefault="00000000">
                                <w:pPr>
                                  <w:pStyle w:val="NoSpacing"/>
                                  <w:jc w:val="right"/>
                                  <w:rPr>
                                    <w:caps/>
                                    <w:color w:val="262626" w:themeColor="text1" w:themeTint="D9"/>
                                    <w:sz w:val="20"/>
                                    <w:szCs w:val="20"/>
                                  </w:rPr>
                                </w:pPr>
                                <w:sdt>
                                  <w:sdtPr>
                                    <w:rPr>
                                      <w:color w:val="262626" w:themeColor="text1" w:themeTint="D9"/>
                                      <w:sz w:val="20"/>
                                      <w:szCs w:val="20"/>
                                    </w:rPr>
                                    <w:alias w:val="Address"/>
                                    <w:tag w:val=""/>
                                    <w:id w:val="171227497"/>
                                    <w:showingPlcHdr/>
                                    <w:dataBinding w:prefixMappings="xmlns:ns0='http://schemas.microsoft.com/office/2006/coverPageProps' " w:xpath="/ns0:CoverPageProperties[1]/ns0:CompanyAddress[1]" w:storeItemID="{55AF091B-3C7A-41E3-B477-F2FDAA23CFDA}"/>
                                    <w:text/>
                                  </w:sdtPr>
                                  <w:sdtContent>
                                    <w:r>
                                      <w:rPr>
                                        <w:color w:val="262626" w:themeColor="text1" w:themeTint="D9"/>
                                        <w:sz w:val="20"/>
                                        <w:szCs w:val="20"/>
                                      </w:rPr>
                                      <w:t xml:space="preserve">     </w:t>
                                    </w:r>
                                  </w:sdtContent>
                                </w:sdt>
                                <w:r>
                                  <w:rPr>
                                    <w:color w:val="262626" w:themeColor="text1" w:themeTint="D9"/>
                                    <w:sz w:val="20"/>
                                    <w:szCs w:val="20"/>
                                  </w:rPr>
                                  <w:t xml:space="preserve"> </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8000</wp14:pctHeight>
                    </wp14:sizeRelV>
                  </wp:anchor>
                </w:drawing>
              </mc:Choice>
              <mc:Fallback>
                <w:pict>
                  <v:shapetype w14:anchorId="26657465" id="_x0000_t202" coordsize="21600,21600" o:spt="202" path="m,l,21600r21600,l21600,xe">
                    <v:stroke joinstyle="miter"/>
                    <v:path gradientshapeok="t" o:connecttype="rect"/>
                  </v:shapetype>
                  <v:shape id="Text Box 112" o:spid="_x0000_s1026" type="#_x0000_t202" style="position:absolute;margin-left:0;margin-top:0;width:453pt;height:51.4pt;z-index:251661312;visibility:visible;mso-wrap-style:square;mso-width-percent:734;mso-height-percent:80;mso-left-percent:150;mso-top-percent:837;mso-wrap-distance-left:9pt;mso-wrap-distance-top:0;mso-wrap-distance-right:9pt;mso-wrap-distance-bottom:0;mso-position-horizontal-relative:page;mso-position-vertical-relative:page;mso-width-percent:734;mso-height-percent:80;mso-left-percent:150;mso-top-percent:837;mso-width-relative:page;mso-height-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rN71RXgIAAC0FAAAOAAAAZHJzL2Uyb0RvYy54bWysVN9v2jAQfp+0/8Hy+whQ0VaIUDEqpklV W41OfTaODdEcn3c2JOyv39lJoGJ76bQX5+L77td3d57dNZVhB4W+BJvz0WDImbISitJuc/79ZfXp ljMfhC2EAatyflSe380/fpjVbqrGsANTKGTkxPpp7XK+C8FNs8zLnaqEH4BTlpQasBKBfnGbFShq 8l6ZbDwcXmc1YOEQpPKebu9bJZ8n/1orGZ609iowk3PKLaQT07mJZzafiekWhduVsktD/EMWlSgt BT25uhdBsD2Wf7iqSongQYeBhCoDrUupUg1UzWh4Uc16J5xKtRA53p1o8v/PrXw8rN0zstB8hoYa GAmpnZ96uoz1NBqr+KVMGemJwuOJNtUEJulycjO5Gg1JJUl3PRnf3CZes7O1Qx++KKhYFHKO1JbE ljg8+EARCdpDYjALq9KY1BpjWU1OrybDZHDSkIWxEatSkzs358yTFI5GRYyx35RmZZEKiBdpvNTS IDsIGgwhpbIh1Z78EjqiNCXxHsMOf87qPcZtHX1ksOFkXJUWMFV/kXbxo09Zt3gi8k3dUQzNpuk6 uoHiSI1GaHfAO7kqqRsPwodngTT01EBa5PBEhzZArEMncbYD/PW3+4inWSQtZzUtUc79z71AxZn5 amlK48b1AvbCphfsvloC0T+iJ8LJJJIBBtOLGqF6pf1exCikElZSrJxvenEZ2lWm90GqxSKBaK+c CA927WR0HbsRZ+uleRXougEMNLqP0K+XmF7MYYuNlhYW+wC6TEMaCW1Z7IimnUyz270fcenf/ifU +ZWb/wYAAP//AwBQSwMEFAAGAAgAAAAhAHR5cLLYAAAABQEAAA8AAABkcnMvZG93bnJldi54bWxM j8FOwzAQRO9I/IO1SNyo3QqqksapqgLhTOEDtvE2iRqvo9htAl/PwgUuK41mNPM230y+UxcaYhvY wnxmQBFXwbVcW/h4f7lbgYoJ2WEXmCx8UoRNcX2VY+bCyG902adaSQnHDC00KfWZ1rFqyGOchZ5Y vGMYPCaRQ63dgKOU+04vjFlqjy3LQoM97RqqTvuzl5Gvp9fy/rh9cIyn52ZX+tGE0trbm2m7BpVo Sn9h+MEXdCiE6RDO7KLqLMgj6feK92iWIg8SMosV6CLX/+mLbwAAAP//AwBQSwECLQAUAAYACAAA ACEAtoM4kv4AAADhAQAAEwAAAAAAAAAAAAAAAAAAAAAAW0NvbnRlbnRfVHlwZXNdLnhtbFBLAQIt ABQABgAIAAAAIQA4/SH/1gAAAJQBAAALAAAAAAAAAAAAAAAAAC8BAABfcmVscy8ucmVsc1BLAQIt ABQABgAIAAAAIQDrN71RXgIAAC0FAAAOAAAAAAAAAAAAAAAAAC4CAABkcnMvZTJvRG9jLnhtbFBL AQItABQABgAIAAAAIQB0eXCy2AAAAAUBAAAPAAAAAAAAAAAAAAAAALgEAABkcnMvZG93bnJldi54 bWxQSwUGAAAAAAQABADzAAAAvQUAAAAA " filled="f" stroked="f" strokeweight=".5pt">
                    <v:textbox inset="0,0,0,0">
                      <w:txbxContent>
                        <w:sdt>
                          <w:sdtPr>
                            <w:rPr>
                              <w:caps/>
                              <w:color w:val="262626" w:themeColor="text1" w:themeTint="D9"/>
                              <w:sz w:val="28"/>
                              <w:szCs w:val="28"/>
                            </w:rPr>
                            <w:alias w:val="Author"/>
                            <w:tag w:val=""/>
                            <w:id w:val="1901796142"/>
                            <w:dataBinding w:prefixMappings="xmlns:ns0='http://purl.org/dc/elements/1.1/' xmlns:ns1='http://schemas.openxmlformats.org/package/2006/metadata/core-properties' " w:xpath="/ns1:coreProperties[1]/ns0:creator[1]" w:storeItemID="{6C3C8BC8-F283-45AE-878A-BAB7291924A1}"/>
                            <w:text/>
                          </w:sdtPr>
                          <w:sdtContent>
                            <w:p w14:paraId="47621DC5" w14:textId="2436B345" w:rsidR="00DE0C52" w:rsidRDefault="00DE0C52">
                              <w:pPr>
                                <w:pStyle w:val="NoSpacing"/>
                                <w:jc w:val="right"/>
                                <w:rPr>
                                  <w:caps/>
                                  <w:color w:val="262626" w:themeColor="text1" w:themeTint="D9"/>
                                  <w:sz w:val="28"/>
                                  <w:szCs w:val="28"/>
                                </w:rPr>
                              </w:pPr>
                              <w:r>
                                <w:rPr>
                                  <w:caps/>
                                  <w:color w:val="262626" w:themeColor="text1" w:themeTint="D9"/>
                                  <w:sz w:val="28"/>
                                  <w:szCs w:val="28"/>
                                </w:rPr>
                                <w:t>daniel williams</w:t>
                              </w:r>
                            </w:p>
                          </w:sdtContent>
                        </w:sdt>
                        <w:p w14:paraId="1A1CE809" w14:textId="3D3B05FA" w:rsidR="00DE0C52" w:rsidRDefault="00000000">
                          <w:pPr>
                            <w:pStyle w:val="NoSpacing"/>
                            <w:jc w:val="right"/>
                            <w:rPr>
                              <w:caps/>
                              <w:color w:val="262626" w:themeColor="text1" w:themeTint="D9"/>
                              <w:sz w:val="20"/>
                              <w:szCs w:val="20"/>
                            </w:rPr>
                          </w:pPr>
                          <w:sdt>
                            <w:sdtPr>
                              <w:rPr>
                                <w:caps/>
                                <w:color w:val="262626" w:themeColor="text1" w:themeTint="D9"/>
                                <w:sz w:val="20"/>
                                <w:szCs w:val="20"/>
                              </w:rPr>
                              <w:alias w:val="Company"/>
                              <w:tag w:val=""/>
                              <w:id w:val="-661235724"/>
                              <w:showingPlcHdr/>
                              <w:dataBinding w:prefixMappings="xmlns:ns0='http://schemas.openxmlformats.org/officeDocument/2006/extended-properties' " w:xpath="/ns0:Properties[1]/ns0:Company[1]" w:storeItemID="{6668398D-A668-4E3E-A5EB-62B293D839F1}"/>
                              <w:text/>
                            </w:sdtPr>
                            <w:sdtContent>
                              <w:r>
                                <w:rPr>
                                  <w:caps/>
                                  <w:color w:val="262626" w:themeColor="text1" w:themeTint="D9"/>
                                  <w:sz w:val="20"/>
                                  <w:szCs w:val="20"/>
                                </w:rPr>
                                <w:t xml:space="preserve">     </w:t>
                              </w:r>
                            </w:sdtContent>
                          </w:sdt>
                        </w:p>
                        <w:p w14:paraId="61FE5019" w14:textId="55831FFF" w:rsidR="00DE0C52" w:rsidRDefault="00000000">
                          <w:pPr>
                            <w:pStyle w:val="NoSpacing"/>
                            <w:jc w:val="right"/>
                            <w:rPr>
                              <w:caps/>
                              <w:color w:val="262626" w:themeColor="text1" w:themeTint="D9"/>
                              <w:sz w:val="20"/>
                              <w:szCs w:val="20"/>
                            </w:rPr>
                          </w:pPr>
                          <w:sdt>
                            <w:sdtPr>
                              <w:rPr>
                                <w:color w:val="262626" w:themeColor="text1" w:themeTint="D9"/>
                                <w:sz w:val="20"/>
                                <w:szCs w:val="20"/>
                              </w:rPr>
                              <w:alias w:val="Address"/>
                              <w:tag w:val=""/>
                              <w:id w:val="171227497"/>
                              <w:showingPlcHdr/>
                              <w:dataBinding w:prefixMappings="xmlns:ns0='http://schemas.microsoft.com/office/2006/coverPageProps' " w:xpath="/ns0:CoverPageProperties[1]/ns0:CompanyAddress[1]" w:storeItemID="{55AF091B-3C7A-41E3-B477-F2FDAA23CFDA}"/>
                              <w:text/>
                            </w:sdtPr>
                            <w:sdtContent>
                              <w:r>
                                <w:rPr>
                                  <w:color w:val="262626" w:themeColor="text1" w:themeTint="D9"/>
                                  <w:sz w:val="20"/>
                                  <w:szCs w:val="20"/>
                                </w:rPr>
                                <w:t xml:space="preserve">     </w:t>
                              </w:r>
                            </w:sdtContent>
                          </w:sdt>
                          <w:r>
                            <w:rPr>
                              <w:color w:val="262626" w:themeColor="text1" w:themeTint="D9"/>
                              <w:sz w:val="20"/>
                              <w:szCs w:val="20"/>
                            </w:rPr>
                            <w:t xml:space="preserve"> </w:t>
                          </w:r>
                        </w:p>
                      </w:txbxContent>
                    </v:textbox>
                    <w10:wrap type="square" anchorx="page" anchory="page"/>
                  </v:shape>
                </w:pict>
              </mc:Fallback>
            </mc:AlternateContent>
            <mc:AlternateContent>
              <mc:Choice Requires="wps">
                <w:drawing>
                  <wp:anchor distT="0" distB="0" distL="114300" distR="114300" simplePos="0" relativeHeight="251660288" behindDoc="0" locked="0" layoutInCell="1" allowOverlap="1" wp14:anchorId="3039FE88" wp14:editId="3BE68465">
                    <wp:simplePos x="0" y="0"/>
                    <mc:AlternateContent>
                      <mc:Choice Requires="wp14">
                        <wp:positionH relativeFrom="page">
                          <wp14:pctPosHOffset>15000</wp14:pctPosHOffset>
                        </wp:positionH>
                      </mc:Choice>
                      <mc:Fallback>
                        <wp:positionH relativeFrom="page">
                          <wp:posOffset>1165860</wp:posOffset>
                        </wp:positionH>
                      </mc:Fallback>
                    </mc:AlternateContent>
                    <mc:AlternateContent>
                      <mc:Choice Requires="wp14">
                        <wp:positionV relativeFrom="page">
                          <wp14:pctPosVOffset>45500</wp14:pctPosVOffset>
                        </wp:positionV>
                      </mc:Choice>
                      <mc:Fallback>
                        <wp:positionV relativeFrom="page">
                          <wp:posOffset>4576445</wp:posOffset>
                        </wp:positionV>
                      </mc:Fallback>
                    </mc:AlternateContent>
                    <wp:extent cx="5753100" cy="525780"/>
                    <wp:effectExtent l="0" t="0" r="10160" b="6350"/>
                    <wp:wrapSquare wrapText="bothSides"/>
                    <wp:docPr id="113" name="Text Box 113"/>
                    <wp:cNvGraphicFramePr/>
                    <a:graphic xmlns:a="http://schemas.openxmlformats.org/drawingml/2006/main">
                      <a:graphicData uri="http://schemas.microsoft.com/office/word/2010/wordprocessingShape">
                        <wps:wsp>
                          <wps:cNvSpPr txBox="1"/>
                          <wps:spPr>
                            <a:xfrm>
                              <a:off x="0" y="0"/>
                              <a:ext cx="5753100" cy="525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453BD13" w14:textId="18463D72" w:rsidR="00DE0C52" w:rsidRDefault="00000000">
                                <w:pPr>
                                  <w:pStyle w:val="NoSpacing"/>
                                  <w:jc w:val="right"/>
                                  <w:rPr>
                                    <w:caps/>
                                    <w:color w:val="0A1D30" w:themeColor="text2" w:themeShade="BF"/>
                                    <w:sz w:val="52"/>
                                    <w:szCs w:val="52"/>
                                  </w:rPr>
                                </w:pPr>
                                <w:sdt>
                                  <w:sdtPr>
                                    <w:rPr>
                                      <w:caps/>
                                      <w:color w:val="0A1D30" w:themeColor="text2" w:themeShade="BF"/>
                                      <w:sz w:val="52"/>
                                      <w:szCs w:val="52"/>
                                    </w:rPr>
                                    <w:alias w:val="Title"/>
                                    <w:tag w:val=""/>
                                    <w:id w:val="-1315561441"/>
                                    <w:dataBinding w:prefixMappings="xmlns:ns0='http://purl.org/dc/elements/1.1/' xmlns:ns1='http://schemas.openxmlformats.org/package/2006/metadata/core-properties' " w:xpath="/ns1:coreProperties[1]/ns0:title[1]" w:storeItemID="{6C3C8BC8-F283-45AE-878A-BAB7291924A1}"/>
                                    <w:text w:multiLine="1"/>
                                  </w:sdtPr>
                                  <w:sdtContent>
                                    <w:r>
                                      <w:rPr>
                                        <w:caps/>
                                        <w:color w:val="0A1D30" w:themeColor="text2" w:themeShade="BF"/>
                                        <w:sz w:val="52"/>
                                        <w:szCs w:val="52"/>
                                      </w:rPr>
                                      <w:t>The ethics of god</w:t>
                                    </w:r>
                                  </w:sdtContent>
                                </w:sdt>
                              </w:p>
                              <w:sdt>
                                <w:sdtPr>
                                  <w:rPr>
                                    <w:smallCaps/>
                                    <w:color w:val="0E2841" w:themeColor="text2"/>
                                    <w:sz w:val="36"/>
                                    <w:szCs w:val="36"/>
                                  </w:rPr>
                                  <w:alias w:val="Subtitle"/>
                                  <w:tag w:val=""/>
                                  <w:id w:val="1615247542"/>
                                  <w:dataBinding w:prefixMappings="xmlns:ns0='http://purl.org/dc/elements/1.1/' xmlns:ns1='http://schemas.openxmlformats.org/package/2006/metadata/core-properties' " w:xpath="/ns1:coreProperties[1]/ns0:subject[1]" w:storeItemID="{6C3C8BC8-F283-45AE-878A-BAB7291924A1}"/>
                                  <w:text/>
                                </w:sdtPr>
                                <w:sdtContent>
                                  <w:p w14:paraId="4B89749E" w14:textId="2B0604FB" w:rsidR="00DE0C52" w:rsidRDefault="00DE0C52">
                                    <w:pPr>
                                      <w:pStyle w:val="NoSpacing"/>
                                      <w:jc w:val="right"/>
                                      <w:rPr>
                                        <w:smallCaps/>
                                        <w:color w:val="0E2841" w:themeColor="text2"/>
                                        <w:sz w:val="36"/>
                                        <w:szCs w:val="36"/>
                                      </w:rPr>
                                    </w:pPr>
                                    <w:r>
                                      <w:rPr>
                                        <w:smallCaps/>
                                        <w:color w:val="0E2841" w:themeColor="text2"/>
                                        <w:sz w:val="36"/>
                                        <w:szCs w:val="36"/>
                                      </w:rPr>
                                      <w:t>relational, reflective, situational, and personal</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36300</wp14:pctHeight>
                    </wp14:sizeRelV>
                  </wp:anchor>
                </w:drawing>
              </mc:Choice>
              <mc:Fallback>
                <w:pict>
                  <v:shape w14:anchorId="3039FE88" id="Text Box 113" o:spid="_x0000_s1027" type="#_x0000_t202" style="position:absolute;margin-left:0;margin-top:0;width:453pt;height:41.4pt;z-index:251660288;visibility:visible;mso-wrap-style:square;mso-width-percent:734;mso-height-percent:363;mso-left-percent:150;mso-top-percent:455;mso-wrap-distance-left:9pt;mso-wrap-distance-top:0;mso-wrap-distance-right:9pt;mso-wrap-distance-bottom:0;mso-position-horizontal-relative:page;mso-position-vertical-relative:page;mso-width-percent:734;mso-height-percent:363;mso-left-percent:150;mso-top-percent:455;mso-width-relative:page;mso-height-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6CPOYQIAADQFAAAOAAAAZHJzL2Uyb0RvYy54bWysVE1v2zAMvQ/YfxB0X520SFsYcYosRYYB RVssHXpWZKkxJosapcTOfv0o2U6CbJcOu8i0+Pj1SGp619aG7RT6CmzBxxcjzpSVUFb2reDfX5af bjnzQdhSGLCq4Hvl+d3s44dp43J1CRswpUJGTqzPG1fwTQguzzIvN6oW/gKcsqTUgLUI9ItvWYmi Ie+1yS5Ho+usASwdglTe0+19p+Sz5F9rJcOT1l4FZgpOuYV0YjrX8cxmU5G/oXCbSvZpiH/IohaV paAHV/ciCLbF6g9XdSURPOhwIaHOQOtKqlQDVTMenVWz2ginUi1EjncHmvz/cysfdyv3jCy0n6Gl BkZCGudzT5exnlZjHb+UKSM9Ubg/0KbawCRdTm4mV+MRqSTpJpeTm9vEa3a0dujDFwU1i0LBkdqS 2BK7Bx8oIkEHSAxmYVkZk1pjLGsKfn01GSWDg4YsjI1YlZrcuzlmnqSwNypijP2mNKvKVEC8SOOl FgbZTtBgCCmVDan25JfQEaUpifcY9vhjVu8x7uoYIoMNB+O6soCp+rO0yx9DyrrDE5EndUcxtOuW Cj9p7BrKPfUboVsF7+SyoqY8CB+eBdLsUx9pn8MTHdoAkQ+9xNkG8Nff7iOeRpK0nDW0SwX3P7cC FWfmq6VhjYs3CDgI60Gw23oB1IUxvRROJpEMMJhB1Aj1K635PEYhlbCSYhV8PYiL0G00PRNSzecJ ROvlRHiwKyej69iUOGIv7atA189hoAl+hGHLRH42jh02WlqYbwPoKs1q5LVjseebVjONcP+MxN0/ /U+o42M3+w0AAP//AwBQSwMEFAAGAAgAAAAhALh36YbaAAAABAEAAA8AAABkcnMvZG93bnJldi54 bWxMj7FOw0AQRHsk/uG0SHTkTApjjM9RBKLABRJJCsqNb7Gd+PYs38UxfD0LDTQjjWY187ZYza5X E42h82zgdpGAIq697bgxsNs+32SgQkS22HsmA58UYFVeXhSYW3/mN5o2sVFSwiFHA22MQ651qFty GBZ+IJbsw48Oo9ix0XbEs5S7Xi+TJNUOO5aFFgd6bKk+bk7OwDu7qqqm9dzfvaLv0pfDjr6ejLm+ mtcPoCLN8e8YfvAFHUph2vsT26B6A/JI/FXJ7pNU7N5AtsxAl4X+D19+AwAA//8DAFBLAQItABQA BgAIAAAAIQC2gziS/gAAAOEBAAATAAAAAAAAAAAAAAAAAAAAAABbQ29udGVudF9UeXBlc10ueG1s UEsBAi0AFAAGAAgAAAAhADj9If/WAAAAlAEAAAsAAAAAAAAAAAAAAAAALwEAAF9yZWxzLy5yZWxz UEsBAi0AFAAGAAgAAAAhAMboI85hAgAANAUAAA4AAAAAAAAAAAAAAAAALgIAAGRycy9lMm9Eb2Mu eG1sUEsBAi0AFAAGAAgAAAAhALh36YbaAAAABAEAAA8AAAAAAAAAAAAAAAAAuwQAAGRycy9kb3du cmV2LnhtbFBLBQYAAAAABAAEAPMAAADCBQAAAAA= " filled="f" stroked="f" strokeweight=".5pt">
                    <v:textbox inset="0,0,0,0">
                      <w:txbxContent>
                        <w:p w14:paraId="7453BD13" w14:textId="18463D72" w:rsidR="00DE0C52" w:rsidRDefault="00000000">
                          <w:pPr>
                            <w:pStyle w:val="NoSpacing"/>
                            <w:jc w:val="right"/>
                            <w:rPr>
                              <w:caps/>
                              <w:color w:val="0A1D30" w:themeColor="text2" w:themeShade="BF"/>
                              <w:sz w:val="52"/>
                              <w:szCs w:val="52"/>
                            </w:rPr>
                          </w:pPr>
                          <w:sdt>
                            <w:sdtPr>
                              <w:rPr>
                                <w:caps/>
                                <w:color w:val="0A1D30" w:themeColor="text2" w:themeShade="BF"/>
                                <w:sz w:val="52"/>
                                <w:szCs w:val="52"/>
                              </w:rPr>
                              <w:alias w:val="Title"/>
                              <w:tag w:val=""/>
                              <w:id w:val="-1315561441"/>
                              <w:dataBinding w:prefixMappings="xmlns:ns0='http://purl.org/dc/elements/1.1/' xmlns:ns1='http://schemas.openxmlformats.org/package/2006/metadata/core-properties' " w:xpath="/ns1:coreProperties[1]/ns0:title[1]" w:storeItemID="{6C3C8BC8-F283-45AE-878A-BAB7291924A1}"/>
                              <w:text w:multiLine="1"/>
                            </w:sdtPr>
                            <w:sdtContent>
                              <w:r>
                                <w:rPr>
                                  <w:caps/>
                                  <w:color w:val="0A1D30" w:themeColor="text2" w:themeShade="BF"/>
                                  <w:sz w:val="52"/>
                                  <w:szCs w:val="52"/>
                                </w:rPr>
                                <w:t>The ethics of god</w:t>
                              </w:r>
                            </w:sdtContent>
                          </w:sdt>
                        </w:p>
                        <w:sdt>
                          <w:sdtPr>
                            <w:rPr>
                              <w:smallCaps/>
                              <w:color w:val="0E2841" w:themeColor="text2"/>
                              <w:sz w:val="36"/>
                              <w:szCs w:val="36"/>
                            </w:rPr>
                            <w:alias w:val="Subtitle"/>
                            <w:tag w:val=""/>
                            <w:id w:val="1615247542"/>
                            <w:dataBinding w:prefixMappings="xmlns:ns0='http://purl.org/dc/elements/1.1/' xmlns:ns1='http://schemas.openxmlformats.org/package/2006/metadata/core-properties' " w:xpath="/ns1:coreProperties[1]/ns0:subject[1]" w:storeItemID="{6C3C8BC8-F283-45AE-878A-BAB7291924A1}"/>
                            <w:text/>
                          </w:sdtPr>
                          <w:sdtContent>
                            <w:p w14:paraId="4B89749E" w14:textId="2B0604FB" w:rsidR="00DE0C52" w:rsidRDefault="00DE0C52">
                              <w:pPr>
                                <w:pStyle w:val="NoSpacing"/>
                                <w:jc w:val="right"/>
                                <w:rPr>
                                  <w:smallCaps/>
                                  <w:color w:val="0E2841" w:themeColor="text2"/>
                                  <w:sz w:val="36"/>
                                  <w:szCs w:val="36"/>
                                </w:rPr>
                              </w:pPr>
                              <w:r>
                                <w:rPr>
                                  <w:smallCaps/>
                                  <w:color w:val="0E2841" w:themeColor="text2"/>
                                  <w:sz w:val="36"/>
                                  <w:szCs w:val="36"/>
                                </w:rPr>
                                <w:t>relational, reflective, situational, and personal</w:t>
                              </w:r>
                            </w:p>
                          </w:sdtContent>
                        </w:sdt>
                      </w:txbxContent>
                    </v:textbox>
                    <w10:wrap type="square" anchorx="page" anchory="page"/>
                  </v:shape>
                </w:pict>
              </mc:Fallback>
            </mc:AlternateContent>
            <mc:AlternateContent>
              <mc:Choice Requires="wpg">
                <w:drawing>
                  <wp:anchor distT="0" distB="0" distL="114300" distR="114300" simplePos="0" relativeHeight="251659264" behindDoc="0" locked="0" layoutInCell="1" allowOverlap="1" wp14:anchorId="1571DA21" wp14:editId="4BC9E9BF">
                    <wp:simplePos x="0" y="0"/>
                    <mc:AlternateContent>
                      <mc:Choice Requires="wp14">
                        <wp:positionH relativeFrom="page">
                          <wp14:pctPosHOffset>4500</wp14:pctPosHOffset>
                        </wp:positionH>
                      </mc:Choice>
                      <mc:Fallback>
                        <wp:positionH relativeFrom="page">
                          <wp:posOffset>349250</wp:posOffset>
                        </wp:positionH>
                      </mc:Fallback>
                    </mc:AlternateContent>
                    <wp:positionV relativeFrom="page">
                      <wp:align>center</wp:align>
                    </wp:positionV>
                    <wp:extent cx="228600" cy="9144000"/>
                    <wp:effectExtent l="0" t="0" r="3175" b="635"/>
                    <wp:wrapNone/>
                    <wp:docPr id="114" name="Group 115"/>
                    <wp:cNvGraphicFramePr/>
                    <a:graphic xmlns:a="http://schemas.openxmlformats.org/drawingml/2006/main">
                      <a:graphicData uri="http://schemas.microsoft.com/office/word/2010/wordprocessingGroup">
                        <wpg:wgp>
                          <wpg:cNvGrpSpPr/>
                          <wpg:grpSpPr>
                            <a:xfrm>
                              <a:off x="0" y="0"/>
                              <a:ext cx="228600" cy="9144000"/>
                              <a:chOff x="0" y="0"/>
                              <a:chExt cx="228600" cy="9144000"/>
                            </a:xfrm>
                          </wpg:grpSpPr>
                          <wps:wsp>
                            <wps:cNvPr id="115" name="Rectangle 115"/>
                            <wps:cNvSpPr/>
                            <wps:spPr>
                              <a:xfrm>
                                <a:off x="0" y="0"/>
                                <a:ext cx="228600" cy="878205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Rectangle 116"/>
                            <wps:cNvSpPr>
                              <a:spLocks noChangeAspect="1"/>
                            </wps:cNvSpPr>
                            <wps:spPr>
                              <a:xfrm>
                                <a:off x="0" y="8915400"/>
                                <a:ext cx="228600" cy="228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w:pict>
                  <v:group w14:anchorId="2191FB6D" id="Group 115" o:spid="_x0000_s1026" style="position:absolute;margin-left:0;margin-top:0;width:18pt;height:10in;z-index:251659264;mso-width-percent:29;mso-height-percent:909;mso-left-percent:45;mso-position-horizontal-relative:page;mso-position-vertical:center;mso-position-vertical-relative:page;mso-width-percent:29;mso-height-percent:909;mso-left-percent:45" coordsize="2286,9144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PLGdIwMAAMUKAAAOAAAAZHJzL2Uyb0RvYy54bWzsVltP2zAUfp+0/2D5fSSpaCkRKarKQJMq QMDEs3GcJprj49luU/brd+xcgFLxwKZJk3gJvpzr1+98+OR0W0uyEcZWoDKaHMSUCMUhr9Qqo9/v zr9MKbGOqZxJUCKjj8LS09nnTyeNTsUISpC5MASDKJs2OqOlczqNIstLUTN7AFoovCzA1Mzh1qyi 3LAGo9cyGsXxJGrA5NoAF9bi6Vl7SWchflEI7q6KwgpHZEaxNhe+Jnwf/DeanbB0ZZguK96Vwd5R Rc0qhUmHUGfMMbI21atQdcUNWCjcAYc6gqKouAg9YDdJvNPNhYG1Dr2s0malB5gQ2h2c3h2WX24u jL7V1waRaPQKsQg738u2MLX/i1WSbYDscYBMbB3heDgaTScxAsvx6jg5PIxxEzDlJQL/yo2XX992 jPq00YtiGo30sE8I2D9D4LZkWgRgbYoIXBtS5cjeZEyJYjXS9AaJw9RKCuIPAzTBcgDKphYxew9K 06PpKB4HlIZmWaqNdRcCauIXGTWYP/CJbZbWYX407U18Uguyys8rKcPGD4tYSEM2DGnOOBfKjXzV 6PXCUipvr8B7ttf+BKHu2wkr9yiFt5PqRhSIjP+ZQzFhKncTJe1VyXLR5h8jB/r2Bo9QSwjoIxeY f4jdBdjXRNI10dl7VxGGenCO3yqsbXHwCJlBucG5rhSYfQGkGzK39j1ILTQepQfIH5E3BlpJsZqf V/jTLZl118yghuBQoC66K/wUEpqMQreipATza9+5t0di4y0lDWpSRu3PNTOCEvlNIeXDgKGIhc3h +GiEOczzm4fnN2pdLwD5kKACax6W3t7JflkYqO9RPuc+K14xxTF3Rrkz/WbhWq1EAeZiPg9mKFya uaW61dwH96h6at5t75nRHX8d6sMl9GPG0h0at7beU8F87aCoAsefcO3wxpH3qvRPZn+yb/YnO7Pv S7Z6CfyHJQoWJWqEmFuN0+qh8Hzz1aKkeKFoS39TJ6bHyRg103sitfdIY6evLZN7Qe6V4K+JRc/2 D7H4EIv/WyzCswHfSuH/Tfeu84+x5/swpU+vz9lvAAAA//8DAFBLAwQUAAYACAAAACEAvdF3w9oA AAAFAQAADwAAAGRycy9kb3ducmV2LnhtbEyPzU7DMBCE70h9B2srcaN2f1RBGqeqkOgNASkHenPi JYmw11HstuHtWbjQy0qjGc1+k29H78QZh9gF0jCfKRBIdbAdNRreD0939yBiMmSNC4QavjHCtpjc 5Caz4UJveC5TI7iEYmY0tCn1mZSxbtGbOAs9EnufYfAmsRwaaQdz4XLv5EKptfSmI/7Qmh4fW6y/ ypPXQPJg97588R/L9FAujq+Ve95XWt9Ox90GRMIx/YfhF5/RoWCmKpzIRuE08JD0d9lbrllVnFmt lAJZ5PKavvgBAAD//wMAUEsBAi0AFAAGAAgAAAAhALaDOJL+AAAA4QEAABMAAAAAAAAAAAAAAAAA AAAAAFtDb250ZW50X1R5cGVzXS54bWxQSwECLQAUAAYACAAAACEAOP0h/9YAAACUAQAACwAAAAAA AAAAAAAAAAAvAQAAX3JlbHMvLnJlbHNQSwECLQAUAAYACAAAACEAxDyxnSMDAADFCgAADgAAAAAA AAAAAAAAAAAuAgAAZHJzL2Uyb0RvYy54bWxQSwECLQAUAAYACAAAACEAvdF3w9oAAAAFAQAADwAA AAAAAAAAAAAAAAB9BQAAZHJzL2Rvd25yZXYueG1sUEsFBgAAAAAEAAQA8wAAAIQGAAAAAA== ">
                    <v:rect id="Rectangle 115" o:spid="_x0000_s1027" style="position:absolute;width:2286;height:87820;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Uz1BBwgAAANwAAAAPAAAAZHJzL2Rvd25yZXYueG1sRE/bisIw EH0X/Icwwr5tUxUXqUYRQVBY91IVX4dmbIvNpCRRu3+/WVjwbQ7nOvNlZxpxJ+drywqGSQqCuLC6 5lLB8bB5nYLwAVljY5kU/JCH5aLfm2Om7YO/6Z6HUsQQ9hkqqEJoMyl9UZFBn9iWOHIX6wyGCF0p tcNHDDeNHKXpmzRYc2yosKV1RcU1vxkF55MZf+zazy7fvN8cpyfe519jpV4G3WoGIlAXnuJ/91bH +cMJ/D0TL5CLXwAAAP//AwBQSwECLQAUAAYACAAAACEA2+H2y+4AAACFAQAAEwAAAAAAAAAAAAAA AAAAAAAAW0NvbnRlbnRfVHlwZXNdLnhtbFBLAQItABQABgAIAAAAIQBa9CxbvwAAABUBAAALAAAA AAAAAAAAAAAAAB8BAABfcmVscy8ucmVsc1BLAQItABQABgAIAAAAIQCUz1BBwgAAANwAAAAPAAAA AAAAAAAAAAAAAAcCAABkcnMvZG93bnJldi54bWxQSwUGAAAAAAMAAwC3AAAA9gIAAAAA " fillcolor="#e97132 [3205]" stroked="f" strokeweight="1.5pt"/>
                    <v:rect id="Rectangle 116" o:spid="_x0000_s1028" style="position:absolute;top:89154;width:2286;height:2286;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gQrirwwAAANwAAAAPAAAAZHJzL2Rvd25yZXYueG1sRE9Li8Iw EL4L+x/CLHjT1MUX1ShlRVDBg24Fj0MztsVmUpuo3X+/EYS9zcf3nPmyNZV4UONKywoG/QgEcWZ1 ybmC9Gfdm4JwHlljZZkU/JKD5eKjM8dY2ycf6HH0uQgh7GJUUHhfx1K6rCCDrm9r4sBdbGPQB9jk Ujf4DOGmkl9RNJYGSw4NBdb0XVB2Pd6NglHiDqdkv0u2w/Nqta/TSZTeJkp1P9tkBsJT6//Fb/dG h/mDMbyeCRfIxR8AAAD//wMAUEsBAi0AFAAGAAgAAAAhANvh9svuAAAAhQEAABMAAAAAAAAAAAAA AAAAAAAAAFtDb250ZW50X1R5cGVzXS54bWxQSwECLQAUAAYACAAAACEAWvQsW78AAAAVAQAACwAA AAAAAAAAAAAAAAAfAQAAX3JlbHMvLnJlbHNQSwECLQAUAAYACAAAACEAoEK4q8MAAADcAAAADwAA AAAAAAAAAAAAAAAHAgAAZHJzL2Rvd25yZXYueG1sUEsFBgAAAAADAAMAtwAAAPcCAAAAAA== " fillcolor="#156082 [3204]" stroked="f" strokeweight="1.5pt">
                      <o:lock v:ext="edit" aspectratio="t"/>
                    </v:rect>
                    <w10:wrap anchorx="page" anchory="page"/>
                  </v:group>
                </w:pict>
              </mc:Fallback>
            </mc:AlternateContent>
          </w:r>
          <w:r>
            <w:rPr>
              <w:b/>
              <w:bCs/>
            </w:rPr>
            <w:br w:type="page"/>
          </w:r>
        </w:p>
      </w:sdtContent>
    </w:sdt>
    <w:sdt>
      <w:sdtPr>
        <w:id w:val="1621491333"/>
        <w:docPartObj>
          <w:docPartGallery w:val="Table of Contents"/>
          <w:docPartUnique/>
        </w:docPartObj>
      </w:sdtPr>
      <w:sdtEndPr>
        <w:rPr>
          <w:rFonts w:ascii="Arial" w:eastAsia="Arial" w:hAnsi="Arial" w:cs="Arial"/>
          <w:b/>
          <w:bCs/>
          <w:noProof/>
          <w:color w:val="auto"/>
          <w:sz w:val="24"/>
          <w:szCs w:val="24"/>
        </w:rPr>
      </w:sdtEndPr>
      <w:sdtContent>
        <w:p w14:paraId="087D6668" w14:textId="0A983FC8" w:rsidR="007F7920" w:rsidRDefault="007F7920">
          <w:pPr>
            <w:pStyle w:val="TOCHeading"/>
          </w:pPr>
          <w:r>
            <w:t>Table of Contents</w:t>
          </w:r>
        </w:p>
        <w:p w14:paraId="55C7411D" w14:textId="292EB59B" w:rsidR="007F7920" w:rsidRDefault="007F7920">
          <w:pPr>
            <w:pStyle w:val="TOC1"/>
            <w:tabs>
              <w:tab w:val="right" w:leader="dot" w:pos="9350"/>
            </w:tabs>
            <w:rPr>
              <w:noProof/>
            </w:rPr>
          </w:pPr>
          <w:r>
            <w:fldChar w:fldCharType="begin"/>
            <w:instrText xml:space="preserve"> TOC \o "1-3" \h \z \u </w:instrText>
            <w:fldChar w:fldCharType="separate"/>
          </w:r>
          <w:hyperlink w:anchor="_Toc228335806" w:history="1">
            <w:r>
              <w:rPr>
                <w:rStyle w:val="Hyperlink"/>
                <w:rFonts w:ascii="Times New Roman" w:hAnsi="Times New Roman" w:cs="Times New Roman"/>
                <w:noProof/>
              </w:rPr>
              <w:t>Introduction: The Shape of Love</w:t>
            </w:r>
            <w:r>
              <w:rPr>
                <w:noProof/>
                <w:webHidden/>
              </w:rPr>
              <w:tab/>
              <w:fldChar w:fldCharType="begin"/>
              <w:instrText xml:space="preserve"> PAGEREF _Toc228335806 \h </w:instrText>
              <w:fldChar w:fldCharType="separate"/>
              <w:t>1</w:t>
              <w:fldChar w:fldCharType="end"/>
            </w:r>
          </w:hyperlink>
        </w:p>
        <w:p w14:paraId="5819D392" w14:textId="2E2DE795" w:rsidR="007F7920" w:rsidRDefault="007F7920">
          <w:pPr>
            <w:pStyle w:val="TOC2"/>
            <w:tabs>
              <w:tab w:val="right" w:leader="dot" w:pos="9350"/>
            </w:tabs>
            <w:rPr>
              <w:noProof/>
            </w:rPr>
          </w:pPr>
          <w:hyperlink w:anchor="_Toc228335807" w:history="1">
            <w:r>
              <w:rPr>
                <w:rStyle w:val="Hyperlink"/>
                <w:rFonts w:ascii="Times New Roman" w:hAnsi="Times New Roman" w:cs="Times New Roman"/>
                <w:noProof/>
              </w:rPr>
              <w:t>A Conversation Already Underway</w:t>
            </w:r>
            <w:r>
              <w:rPr>
                <w:noProof/>
                <w:webHidden/>
              </w:rPr>
              <w:tab/>
              <w:fldChar w:fldCharType="begin"/>
              <w:instrText xml:space="preserve"> PAGEREF _Toc228335807 \h </w:instrText>
              <w:fldChar w:fldCharType="separate"/>
              <w:t>2</w:t>
              <w:fldChar w:fldCharType="end"/>
            </w:r>
          </w:hyperlink>
        </w:p>
        <w:p w14:paraId="71D6604D" w14:textId="2BC45038" w:rsidR="007F7920" w:rsidRDefault="007F7920">
          <w:pPr>
            <w:pStyle w:val="TOC2"/>
            <w:tabs>
              <w:tab w:val="right" w:leader="dot" w:pos="9350"/>
            </w:tabs>
            <w:rPr>
              <w:noProof/>
            </w:rPr>
          </w:pPr>
          <w:hyperlink w:anchor="_Toc228335808" w:history="1">
            <w:r>
              <w:rPr>
                <w:rStyle w:val="Hyperlink"/>
                <w:rFonts w:ascii="Times New Roman" w:hAnsi="Times New Roman" w:cs="Times New Roman"/>
                <w:noProof/>
              </w:rPr>
              <w:t>How This Book Is Organized</w:t>
            </w:r>
            <w:r>
              <w:rPr>
                <w:noProof/>
                <w:webHidden/>
              </w:rPr>
              <w:tab/>
              <w:fldChar w:fldCharType="begin"/>
              <w:instrText xml:space="preserve"> PAGEREF _Toc228335808 \h </w:instrText>
              <w:fldChar w:fldCharType="separate"/>
              <w:t>3</w:t>
              <w:fldChar w:fldCharType="end"/>
            </w:r>
          </w:hyperlink>
        </w:p>
        <w:p w14:paraId="48396920" w14:textId="13048BD7" w:rsidR="007F7920" w:rsidRDefault="007F7920">
          <w:pPr>
            <w:pStyle w:val="TOC2"/>
            <w:tabs>
              <w:tab w:val="right" w:leader="dot" w:pos="9350"/>
            </w:tabs>
            <w:rPr>
              <w:noProof/>
            </w:rPr>
          </w:pPr>
          <w:hyperlink w:anchor="_Toc228335809" w:history="1">
            <w:r>
              <w:rPr>
                <w:rStyle w:val="Hyperlink"/>
                <w:rFonts w:ascii="Times New Roman" w:hAnsi="Times New Roman" w:cs="Times New Roman"/>
                <w:noProof/>
              </w:rPr>
              <w:t>A Note on Method and Tone</w:t>
            </w:r>
            <w:r>
              <w:rPr>
                <w:noProof/>
                <w:webHidden/>
              </w:rPr>
              <w:tab/>
              <w:fldChar w:fldCharType="begin"/>
              <w:instrText xml:space="preserve"> PAGEREF _Toc228335809 \h </w:instrText>
              <w:fldChar w:fldCharType="separate"/>
              <w:t>5</w:t>
              <w:fldChar w:fldCharType="end"/>
            </w:r>
          </w:hyperlink>
        </w:p>
        <w:p w14:paraId="5D82D3E7" w14:textId="2289B32F" w:rsidR="007F7920" w:rsidRDefault="007F7920">
          <w:pPr>
            <w:pStyle w:val="TOC1"/>
            <w:tabs>
              <w:tab w:val="right" w:leader="dot" w:pos="9350"/>
            </w:tabs>
            <w:rPr>
              <w:noProof/>
            </w:rPr>
          </w:pPr>
          <w:hyperlink w:anchor="_Toc228335810" w:history="1">
            <w:r>
              <w:rPr>
                <w:rStyle w:val="Hyperlink"/>
                <w:rFonts w:ascii="Times New Roman" w:hAnsi="Times New Roman" w:cs="Times New Roman"/>
                <w:noProof/>
              </w:rPr>
              <w:t>Chapter One The Moral Life We Actually Live</w:t>
            </w:r>
            <w:r>
              <w:rPr>
                <w:noProof/>
                <w:webHidden/>
              </w:rPr>
              <w:tab/>
              <w:fldChar w:fldCharType="begin"/>
              <w:instrText xml:space="preserve"> PAGEREF _Toc228335810 \h </w:instrText>
              <w:fldChar w:fldCharType="separate"/>
              <w:t>9</w:t>
              <w:fldChar w:fldCharType="end"/>
            </w:r>
          </w:hyperlink>
        </w:p>
        <w:p w14:paraId="7F08389B" w14:textId="365026AB" w:rsidR="007F7920" w:rsidRDefault="007F7920">
          <w:pPr>
            <w:pStyle w:val="TOC1"/>
            <w:tabs>
              <w:tab w:val="right" w:leader="dot" w:pos="9350"/>
            </w:tabs>
            <w:rPr>
              <w:noProof/>
            </w:rPr>
          </w:pPr>
          <w:hyperlink w:anchor="_Toc228335811" w:history="1">
            <w:r>
              <w:rPr>
                <w:rStyle w:val="Hyperlink"/>
                <w:rFonts w:ascii="Times New Roman" w:hAnsi="Times New Roman" w:cs="Times New Roman"/>
                <w:noProof/>
              </w:rPr>
              <w:t>Chapter Two The Source of All Love</w:t>
            </w:r>
            <w:r>
              <w:rPr>
                <w:noProof/>
                <w:webHidden/>
              </w:rPr>
              <w:tab/>
              <w:fldChar w:fldCharType="begin"/>
              <w:instrText xml:space="preserve"> PAGEREF _Toc228335811 \h </w:instrText>
              <w:fldChar w:fldCharType="separate"/>
              <w:t>21</w:t>
              <w:fldChar w:fldCharType="end"/>
            </w:r>
          </w:hyperlink>
        </w:p>
        <w:p w14:paraId="79707D87" w14:textId="57740D2E" w:rsidR="007F7920" w:rsidRDefault="007F7920">
          <w:pPr>
            <w:pStyle w:val="TOC1"/>
            <w:tabs>
              <w:tab w:val="right" w:leader="dot" w:pos="9350"/>
            </w:tabs>
            <w:rPr>
              <w:noProof/>
            </w:rPr>
          </w:pPr>
          <w:hyperlink w:anchor="_Toc228335812" w:history="1">
            <w:r>
              <w:rPr>
                <w:rStyle w:val="Hyperlink"/>
                <w:rFonts w:ascii="Times New Roman" w:hAnsi="Times New Roman" w:cs="Times New Roman"/>
                <w:noProof/>
              </w:rPr>
              <w:t>Chapter Three The Creature God Had in Mind</w:t>
            </w:r>
            <w:r>
              <w:rPr>
                <w:noProof/>
                <w:webHidden/>
              </w:rPr>
              <w:tab/>
              <w:fldChar w:fldCharType="begin"/>
              <w:instrText xml:space="preserve"> PAGEREF _Toc228335812 \h </w:instrText>
              <w:fldChar w:fldCharType="separate"/>
              <w:t>32</w:t>
              <w:fldChar w:fldCharType="end"/>
            </w:r>
          </w:hyperlink>
        </w:p>
        <w:p w14:paraId="6B8CA18C" w14:textId="69927565" w:rsidR="007F7920" w:rsidRDefault="007F7920">
          <w:pPr>
            <w:pStyle w:val="TOC1"/>
            <w:tabs>
              <w:tab w:val="right" w:leader="dot" w:pos="9350"/>
            </w:tabs>
            <w:rPr>
              <w:noProof/>
            </w:rPr>
          </w:pPr>
          <w:hyperlink w:anchor="_Toc228335813" w:history="1">
            <w:r>
              <w:rPr>
                <w:rStyle w:val="Hyperlink"/>
                <w:rFonts w:ascii="Times New Roman" w:hAnsi="Times New Roman" w:cs="Times New Roman"/>
                <w:noProof/>
              </w:rPr>
              <w:t>Chapter Four The Shape of a Moral Life</w:t>
            </w:r>
            <w:r>
              <w:rPr>
                <w:noProof/>
                <w:webHidden/>
              </w:rPr>
              <w:tab/>
              <w:fldChar w:fldCharType="begin"/>
              <w:instrText xml:space="preserve"> PAGEREF _Toc228335813 \h </w:instrText>
              <w:fldChar w:fldCharType="separate"/>
              <w:t>43</w:t>
              <w:fldChar w:fldCharType="end"/>
            </w:r>
          </w:hyperlink>
        </w:p>
        <w:p w14:paraId="0D1E5B4B" w14:textId="6C548D97" w:rsidR="007F7920" w:rsidRDefault="007F7920">
          <w:pPr>
            <w:pStyle w:val="TOC1"/>
            <w:tabs>
              <w:tab w:val="right" w:leader="dot" w:pos="9350"/>
            </w:tabs>
            <w:rPr>
              <w:noProof/>
            </w:rPr>
          </w:pPr>
          <w:hyperlink w:anchor="_Toc228335814" w:history="1">
            <w:r>
              <w:rPr>
                <w:rStyle w:val="Hyperlink"/>
                <w:rFonts w:ascii="Times New Roman" w:hAnsi="Times New Roman" w:cs="Times New Roman"/>
                <w:noProof/>
              </w:rPr>
              <w:t>Chapter Five The Grammar of Love</w:t>
            </w:r>
            <w:r>
              <w:rPr>
                <w:noProof/>
                <w:webHidden/>
              </w:rPr>
              <w:tab/>
              <w:fldChar w:fldCharType="begin"/>
              <w:instrText xml:space="preserve"> PAGEREF _Toc228335814 \h </w:instrText>
              <w:fldChar w:fldCharType="separate"/>
              <w:t>53</w:t>
              <w:fldChar w:fldCharType="end"/>
            </w:r>
          </w:hyperlink>
        </w:p>
        <w:p w14:paraId="60A10138" w14:textId="6E23060A" w:rsidR="007F7920" w:rsidRDefault="007F7920">
          <w:pPr>
            <w:pStyle w:val="TOC1"/>
            <w:tabs>
              <w:tab w:val="right" w:leader="dot" w:pos="9350"/>
            </w:tabs>
            <w:rPr>
              <w:noProof/>
            </w:rPr>
          </w:pPr>
          <w:hyperlink w:anchor="_Toc228335815" w:history="1">
            <w:r>
              <w:rPr>
                <w:rStyle w:val="Hyperlink"/>
                <w:rFonts w:ascii="Times New Roman" w:hAnsi="Times New Roman" w:cs="Times New Roman"/>
                <w:noProof/>
              </w:rPr>
              <w:t>Chapter Six Relational Love in the Texture of History</w:t>
            </w:r>
            <w:r>
              <w:rPr>
                <w:noProof/>
                <w:webHidden/>
              </w:rPr>
              <w:tab/>
              <w:fldChar w:fldCharType="begin"/>
              <w:instrText xml:space="preserve"> PAGEREF _Toc228335815 \h </w:instrText>
              <w:fldChar w:fldCharType="separate"/>
              <w:t>62</w:t>
              <w:fldChar w:fldCharType="end"/>
            </w:r>
          </w:hyperlink>
        </w:p>
        <w:p w14:paraId="1BB8AB4B" w14:textId="6289D266" w:rsidR="007F7920" w:rsidRDefault="007F7920">
          <w:pPr>
            <w:pStyle w:val="TOC1"/>
            <w:tabs>
              <w:tab w:val="right" w:leader="dot" w:pos="9350"/>
            </w:tabs>
            <w:rPr>
              <w:noProof/>
            </w:rPr>
          </w:pPr>
          <w:hyperlink w:anchor="_Toc228335816" w:history="1">
            <w:r>
              <w:rPr>
                <w:rStyle w:val="Hyperlink"/>
                <w:rFonts w:ascii="Times New Roman" w:hAnsi="Times New Roman" w:cs="Times New Roman"/>
                <w:noProof/>
              </w:rPr>
              <w:t>Chapter Seven The Patience That Ends</w:t>
            </w:r>
            <w:r>
              <w:rPr>
                <w:noProof/>
                <w:webHidden/>
              </w:rPr>
              <w:tab/>
              <w:fldChar w:fldCharType="begin"/>
              <w:instrText xml:space="preserve"> PAGEREF _Toc228335816 \h </w:instrText>
              <w:fldChar w:fldCharType="separate"/>
              <w:t>71</w:t>
              <w:fldChar w:fldCharType="end"/>
            </w:r>
          </w:hyperlink>
        </w:p>
        <w:p w14:paraId="16902FF2" w14:textId="713156A4" w:rsidR="007F7920" w:rsidRDefault="007F7920">
          <w:pPr>
            <w:pStyle w:val="TOC1"/>
            <w:tabs>
              <w:tab w:val="right" w:leader="dot" w:pos="9350"/>
            </w:tabs>
            <w:rPr>
              <w:noProof/>
            </w:rPr>
          </w:pPr>
          <w:hyperlink w:anchor="_Toc228335817" w:history="1">
            <w:r>
              <w:rPr>
                <w:rStyle w:val="Hyperlink"/>
                <w:rFonts w:ascii="Times New Roman" w:hAnsi="Times New Roman" w:cs="Times New Roman"/>
                <w:noProof/>
              </w:rPr>
              <w:t>Chapter Eight</w:t>
            </w:r>
            <w:r>
              <w:rPr>
                <w:noProof/>
                <w:webHidden/>
              </w:rPr>
              <w:tab/>
              <w:fldChar w:fldCharType="begin"/>
              <w:instrText xml:space="preserve"> PAGEREF _Toc228335817 \h </w:instrText>
              <w:fldChar w:fldCharType="separate"/>
              <w:t>81</w:t>
              <w:fldChar w:fldCharType="end"/>
            </w:r>
          </w:hyperlink>
        </w:p>
        <w:p w14:paraId="348C0645" w14:textId="7F73B321" w:rsidR="007F7920" w:rsidRDefault="007F7920">
          <w:pPr>
            <w:pStyle w:val="TOC1"/>
            <w:tabs>
              <w:tab w:val="right" w:leader="dot" w:pos="9350"/>
            </w:tabs>
            <w:rPr>
              <w:noProof/>
            </w:rPr>
          </w:pPr>
          <w:hyperlink w:anchor="_Toc228335818" w:history="1">
            <w:r>
              <w:rPr>
                <w:rStyle w:val="Hyperlink"/>
                <w:rFonts w:ascii="Times New Roman" w:hAnsi="Times New Roman" w:cs="Times New Roman"/>
                <w:noProof/>
              </w:rPr>
              <w:t xml:space="preserve">The Hardest Cases: Conquest, </w:t>
            </w:r>
            <w:r>
              <w:rPr>
                <w:rStyle w:val="Hyperlink"/>
                <w:rFonts w:ascii="Times New Roman" w:hAnsi="Times New Roman" w:cs="Times New Roman"/>
                <w:i/>
                <w:iCs/>
                <w:noProof/>
              </w:rPr>
              <w:t>Herem</w:t>
            </w:r>
            <w:r>
              <w:rPr>
                <w:rStyle w:val="Hyperlink"/>
                <w:rFonts w:ascii="Times New Roman" w:hAnsi="Times New Roman" w:cs="Times New Roman"/>
                <w:noProof/>
              </w:rPr>
              <w:t>, and Divine Violence</w:t>
            </w:r>
            <w:r>
              <w:rPr>
                <w:noProof/>
                <w:webHidden/>
              </w:rPr>
              <w:tab/>
              <w:fldChar w:fldCharType="begin"/>
              <w:instrText xml:space="preserve"> PAGEREF _Toc228335818 \h </w:instrText>
              <w:fldChar w:fldCharType="separate"/>
              <w:t>81</w:t>
              <w:fldChar w:fldCharType="end"/>
            </w:r>
          </w:hyperlink>
        </w:p>
        <w:p w14:paraId="7AD9571C" w14:textId="24FF3910" w:rsidR="007F7920" w:rsidRDefault="007F7920">
          <w:pPr>
            <w:pStyle w:val="TOC2"/>
            <w:tabs>
              <w:tab w:val="right" w:leader="dot" w:pos="9350"/>
            </w:tabs>
            <w:rPr>
              <w:noProof/>
            </w:rPr>
          </w:pPr>
          <w:hyperlink w:anchor="_Toc228335819" w:history="1">
            <w:r>
              <w:rPr>
                <w:rStyle w:val="Hyperlink"/>
                <w:rFonts w:ascii="Times New Roman" w:hAnsi="Times New Roman" w:cs="Times New Roman"/>
                <w:noProof/>
              </w:rPr>
              <w:t>The Nature of the Problem</w:t>
            </w:r>
            <w:r>
              <w:rPr>
                <w:noProof/>
                <w:webHidden/>
              </w:rPr>
              <w:tab/>
              <w:fldChar w:fldCharType="begin"/>
              <w:instrText xml:space="preserve"> PAGEREF _Toc228335819 \h </w:instrText>
              <w:fldChar w:fldCharType="separate"/>
              <w:t>81</w:t>
              <w:fldChar w:fldCharType="end"/>
            </w:r>
          </w:hyperlink>
        </w:p>
        <w:p w14:paraId="7EEFC966" w14:textId="31F8AE0F" w:rsidR="007F7920" w:rsidRDefault="007F7920">
          <w:pPr>
            <w:pStyle w:val="TOC2"/>
            <w:tabs>
              <w:tab w:val="right" w:leader="dot" w:pos="9350"/>
            </w:tabs>
            <w:rPr>
              <w:noProof/>
            </w:rPr>
          </w:pPr>
          <w:hyperlink w:anchor="_Toc228335820" w:history="1">
            <w:r>
              <w:rPr>
                <w:rStyle w:val="Hyperlink"/>
                <w:rFonts w:ascii="Times New Roman" w:hAnsi="Times New Roman" w:cs="Times New Roman"/>
                <w:noProof/>
              </w:rPr>
              <w:t>Grounding Principles</w:t>
            </w:r>
            <w:r>
              <w:rPr>
                <w:noProof/>
                <w:webHidden/>
              </w:rPr>
              <w:tab/>
              <w:fldChar w:fldCharType="begin"/>
              <w:instrText xml:space="preserve"> PAGEREF _Toc228335820 \h </w:instrText>
              <w:fldChar w:fldCharType="separate"/>
              <w:t>82</w:t>
              <w:fldChar w:fldCharType="end"/>
            </w:r>
          </w:hyperlink>
        </w:p>
        <w:p w14:paraId="500E548D" w14:textId="52516EF4" w:rsidR="007F7920" w:rsidRDefault="007F7920">
          <w:pPr>
            <w:pStyle w:val="TOC2"/>
            <w:tabs>
              <w:tab w:val="right" w:leader="dot" w:pos="9350"/>
            </w:tabs>
            <w:rPr>
              <w:noProof/>
            </w:rPr>
          </w:pPr>
          <w:hyperlink w:anchor="_Toc228335821" w:history="1">
            <w:r>
              <w:rPr>
                <w:rStyle w:val="Hyperlink"/>
                <w:rFonts w:ascii="Times New Roman" w:hAnsi="Times New Roman" w:cs="Times New Roman"/>
                <w:noProof/>
              </w:rPr>
              <w:t>The Conquest as Relational Judgment</w:t>
            </w:r>
            <w:r>
              <w:rPr>
                <w:noProof/>
                <w:webHidden/>
              </w:rPr>
              <w:tab/>
              <w:fldChar w:fldCharType="begin"/>
              <w:instrText xml:space="preserve"> PAGEREF _Toc228335821 \h </w:instrText>
              <w:fldChar w:fldCharType="separate"/>
              <w:t>83</w:t>
              <w:fldChar w:fldCharType="end"/>
            </w:r>
          </w:hyperlink>
        </w:p>
        <w:p w14:paraId="50CE80DC" w14:textId="248999A2" w:rsidR="007F7920" w:rsidRDefault="007F7920">
          <w:pPr>
            <w:pStyle w:val="TOC2"/>
            <w:tabs>
              <w:tab w:val="right" w:leader="dot" w:pos="9350"/>
            </w:tabs>
            <w:rPr>
              <w:noProof/>
            </w:rPr>
          </w:pPr>
          <w:hyperlink w:anchor="_Toc228335822" w:history="1">
            <w:r>
              <w:rPr>
                <w:rStyle w:val="Hyperlink"/>
                <w:rFonts w:ascii="Times New Roman" w:hAnsi="Times New Roman" w:cs="Times New Roman"/>
                <w:noProof/>
              </w:rPr>
              <w:t>Herem Warfare: Understanding the Ban</w:t>
            </w:r>
            <w:r>
              <w:rPr>
                <w:noProof/>
                <w:webHidden/>
              </w:rPr>
              <w:tab/>
              <w:fldChar w:fldCharType="begin"/>
              <w:instrText xml:space="preserve"> PAGEREF _Toc228335822 \h </w:instrText>
              <w:fldChar w:fldCharType="separate"/>
              <w:t>84</w:t>
              <w:fldChar w:fldCharType="end"/>
            </w:r>
          </w:hyperlink>
        </w:p>
        <w:p w14:paraId="1D325762" w14:textId="63F2808B" w:rsidR="007F7920" w:rsidRDefault="007F7920">
          <w:pPr>
            <w:pStyle w:val="TOC2"/>
            <w:tabs>
              <w:tab w:val="right" w:leader="dot" w:pos="9350"/>
            </w:tabs>
            <w:rPr>
              <w:noProof/>
            </w:rPr>
          </w:pPr>
          <w:hyperlink w:anchor="_Toc228335823" w:history="1">
            <w:r>
              <w:rPr>
                <w:rStyle w:val="Hyperlink"/>
                <w:rFonts w:ascii="Times New Roman" w:hAnsi="Times New Roman" w:cs="Times New Roman"/>
                <w:noProof/>
              </w:rPr>
              <w:t>The Question of Innocent Casualties</w:t>
            </w:r>
            <w:r>
              <w:rPr>
                <w:noProof/>
                <w:webHidden/>
              </w:rPr>
              <w:tab/>
              <w:fldChar w:fldCharType="begin"/>
              <w:instrText xml:space="preserve"> PAGEREF _Toc228335823 \h </w:instrText>
              <w:fldChar w:fldCharType="separate"/>
              <w:t>85</w:t>
              <w:fldChar w:fldCharType="end"/>
            </w:r>
          </w:hyperlink>
        </w:p>
        <w:p w14:paraId="2F4F0DD0" w14:textId="7D013202" w:rsidR="007F7920" w:rsidRDefault="007F7920">
          <w:pPr>
            <w:pStyle w:val="TOC2"/>
            <w:tabs>
              <w:tab w:val="right" w:leader="dot" w:pos="9350"/>
            </w:tabs>
            <w:rPr>
              <w:noProof/>
            </w:rPr>
          </w:pPr>
          <w:hyperlink w:anchor="_Toc228335824" w:history="1">
            <w:r>
              <w:rPr>
                <w:rStyle w:val="Hyperlink"/>
                <w:rFonts w:ascii="Times New Roman" w:hAnsi="Times New Roman" w:cs="Times New Roman"/>
                <w:noProof/>
              </w:rPr>
              <w:t>The Trajectory of Scripture: From Conquest to Cross</w:t>
            </w:r>
            <w:r>
              <w:rPr>
                <w:noProof/>
                <w:webHidden/>
              </w:rPr>
              <w:tab/>
              <w:fldChar w:fldCharType="begin"/>
              <w:instrText xml:space="preserve"> PAGEREF _Toc228335824 \h </w:instrText>
              <w:fldChar w:fldCharType="separate"/>
              <w:t>86</w:t>
              <w:fldChar w:fldCharType="end"/>
            </w:r>
          </w:hyperlink>
        </w:p>
        <w:p w14:paraId="06D1BBC8" w14:textId="3C8F2C93" w:rsidR="007F7920" w:rsidRDefault="007F7920">
          <w:pPr>
            <w:pStyle w:val="TOC2"/>
            <w:tabs>
              <w:tab w:val="right" w:leader="dot" w:pos="9350"/>
            </w:tabs>
            <w:rPr>
              <w:noProof/>
            </w:rPr>
          </w:pPr>
          <w:hyperlink w:anchor="_Toc228335825" w:history="1">
            <w:r>
              <w:rPr>
                <w:rStyle w:val="Hyperlink"/>
                <w:rFonts w:ascii="Times New Roman" w:hAnsi="Times New Roman" w:cs="Times New Roman"/>
                <w:noProof/>
              </w:rPr>
              <w:t>Addressing Specific Objections</w:t>
            </w:r>
            <w:r>
              <w:rPr>
                <w:noProof/>
                <w:webHidden/>
              </w:rPr>
              <w:tab/>
              <w:fldChar w:fldCharType="begin"/>
              <w:instrText xml:space="preserve"> PAGEREF _Toc228335825 \h </w:instrText>
              <w:fldChar w:fldCharType="separate"/>
              <w:t>87</w:t>
              <w:fldChar w:fldCharType="end"/>
            </w:r>
          </w:hyperlink>
        </w:p>
        <w:p w14:paraId="371DAB9E" w14:textId="34BD6B59" w:rsidR="007F7920" w:rsidRDefault="007F7920">
          <w:pPr>
            <w:pStyle w:val="TOC2"/>
            <w:tabs>
              <w:tab w:val="right" w:leader="dot" w:pos="9350"/>
            </w:tabs>
            <w:rPr>
              <w:noProof/>
            </w:rPr>
          </w:pPr>
          <w:hyperlink w:anchor="_Toc228335826" w:history="1">
            <w:r>
              <w:rPr>
                <w:rStyle w:val="Hyperlink"/>
                <w:rFonts w:ascii="Times New Roman" w:hAnsi="Times New Roman" w:cs="Times New Roman"/>
                <w:noProof/>
              </w:rPr>
              <w:t>Contemporary Application</w:t>
            </w:r>
            <w:r>
              <w:rPr>
                <w:noProof/>
                <w:webHidden/>
              </w:rPr>
              <w:tab/>
              <w:fldChar w:fldCharType="begin"/>
              <w:instrText xml:space="preserve"> PAGEREF _Toc228335826 \h </w:instrText>
              <w:fldChar w:fldCharType="separate"/>
              <w:t>88</w:t>
              <w:fldChar w:fldCharType="end"/>
            </w:r>
          </w:hyperlink>
        </w:p>
        <w:p w14:paraId="084D9C93" w14:textId="6A9491FE" w:rsidR="007F7920" w:rsidRDefault="007F7920">
          <w:pPr>
            <w:pStyle w:val="TOC2"/>
            <w:tabs>
              <w:tab w:val="right" w:leader="dot" w:pos="9350"/>
            </w:tabs>
            <w:rPr>
              <w:noProof/>
            </w:rPr>
          </w:pPr>
          <w:hyperlink w:anchor="_Toc228335827" w:history="1">
            <w:r>
              <w:rPr>
                <w:rStyle w:val="Hyperlink"/>
                <w:rFonts w:ascii="Times New Roman" w:hAnsi="Times New Roman" w:cs="Times New Roman"/>
                <w:noProof/>
              </w:rPr>
              <w:t>Conclusion</w:t>
            </w:r>
            <w:r>
              <w:rPr>
                <w:noProof/>
                <w:webHidden/>
              </w:rPr>
              <w:tab/>
              <w:fldChar w:fldCharType="begin"/>
              <w:instrText xml:space="preserve"> PAGEREF _Toc228335827 \h </w:instrText>
              <w:fldChar w:fldCharType="separate"/>
              <w:t>89</w:t>
              <w:fldChar w:fldCharType="end"/>
            </w:r>
          </w:hyperlink>
        </w:p>
        <w:p w14:paraId="247C7484" w14:textId="1C183601" w:rsidR="007F7920" w:rsidRDefault="007F7920">
          <w:pPr>
            <w:pStyle w:val="TOC1"/>
            <w:tabs>
              <w:tab w:val="right" w:leader="dot" w:pos="9350"/>
            </w:tabs>
            <w:rPr>
              <w:noProof/>
            </w:rPr>
          </w:pPr>
          <w:hyperlink w:anchor="_Toc228335828" w:history="1">
            <w:r>
              <w:rPr>
                <w:rStyle w:val="Hyperlink"/>
                <w:rFonts w:ascii="Times New Roman" w:hAnsi="Times New Roman" w:cs="Times New Roman"/>
                <w:noProof/>
              </w:rPr>
              <w:t>Chapter Nine</w:t>
            </w:r>
            <w:r>
              <w:rPr>
                <w:noProof/>
                <w:webHidden/>
              </w:rPr>
              <w:tab/>
              <w:fldChar w:fldCharType="begin"/>
              <w:instrText xml:space="preserve"> PAGEREF _Toc228335828 \h </w:instrText>
              <w:fldChar w:fldCharType="separate"/>
              <w:t>92</w:t>
              <w:fldChar w:fldCharType="end"/>
            </w:r>
          </w:hyperlink>
        </w:p>
        <w:p w14:paraId="558EBFDF" w14:textId="1469312E" w:rsidR="007F7920" w:rsidRDefault="007F7920">
          <w:pPr>
            <w:pStyle w:val="TOC1"/>
            <w:tabs>
              <w:tab w:val="right" w:leader="dot" w:pos="9350"/>
            </w:tabs>
            <w:rPr>
              <w:noProof/>
            </w:rPr>
          </w:pPr>
          <w:hyperlink w:anchor="_Toc228335829" w:history="1">
            <w:r>
              <w:rPr>
                <w:rStyle w:val="Hyperlink"/>
                <w:rFonts w:ascii="Times New Roman" w:hAnsi="Times New Roman" w:cs="Times New Roman"/>
                <w:noProof/>
              </w:rPr>
              <w:t>The Flood: Divine Judgment, Human Corruption, and the Limits of Patience</w:t>
            </w:r>
            <w:r>
              <w:rPr>
                <w:noProof/>
                <w:webHidden/>
              </w:rPr>
              <w:tab/>
              <w:fldChar w:fldCharType="begin"/>
              <w:instrText xml:space="preserve"> PAGEREF _Toc228335829 \h </w:instrText>
              <w:fldChar w:fldCharType="separate"/>
              <w:t>92</w:t>
              <w:fldChar w:fldCharType="end"/>
            </w:r>
          </w:hyperlink>
        </w:p>
        <w:p w14:paraId="6063B8A2" w14:textId="19418BB5" w:rsidR="007F7920" w:rsidRDefault="007F7920">
          <w:pPr>
            <w:pStyle w:val="TOC2"/>
            <w:tabs>
              <w:tab w:val="right" w:leader="dot" w:pos="9350"/>
            </w:tabs>
            <w:rPr>
              <w:noProof/>
            </w:rPr>
          </w:pPr>
          <w:hyperlink w:anchor="_Toc228335830" w:history="1">
            <w:r>
              <w:rPr>
                <w:rStyle w:val="Hyperlink"/>
                <w:rFonts w:ascii="Times New Roman" w:hAnsi="Times New Roman" w:cs="Times New Roman"/>
                <w:noProof/>
              </w:rPr>
              <w:t>The Narrative and Its Context: Shalom Shattered</w:t>
            </w:r>
            <w:r>
              <w:rPr>
                <w:noProof/>
                <w:webHidden/>
              </w:rPr>
              <w:tab/>
              <w:fldChar w:fldCharType="begin"/>
              <w:instrText xml:space="preserve"> PAGEREF _Toc228335830 \h </w:instrText>
              <w:fldChar w:fldCharType="separate"/>
              <w:t>93</w:t>
              <w:fldChar w:fldCharType="end"/>
            </w:r>
          </w:hyperlink>
        </w:p>
        <w:p w14:paraId="6CAF0AE5" w14:textId="4EFD12B8" w:rsidR="007F7920" w:rsidRDefault="007F7920">
          <w:pPr>
            <w:pStyle w:val="TOC2"/>
            <w:tabs>
              <w:tab w:val="right" w:leader="dot" w:pos="9350"/>
            </w:tabs>
            <w:rPr>
              <w:noProof/>
            </w:rPr>
          </w:pPr>
          <w:hyperlink w:anchor="_Toc228335831" w:history="1">
            <w:r>
              <w:rPr>
                <w:rStyle w:val="Hyperlink"/>
                <w:rFonts w:ascii="Times New Roman" w:hAnsi="Times New Roman" w:cs="Times New Roman"/>
                <w:noProof/>
              </w:rPr>
              <w:t>The Theological Function: Uncreation and Recreation</w:t>
            </w:r>
            <w:r>
              <w:rPr>
                <w:noProof/>
                <w:webHidden/>
              </w:rPr>
              <w:tab/>
              <w:fldChar w:fldCharType="begin"/>
              <w:instrText xml:space="preserve"> PAGEREF _Toc228335831 \h </w:instrText>
              <w:fldChar w:fldCharType="separate"/>
              <w:t>95</w:t>
              <w:fldChar w:fldCharType="end"/>
            </w:r>
          </w:hyperlink>
        </w:p>
        <w:p w14:paraId="1241F08D" w14:textId="3FEFF65D" w:rsidR="007F7920" w:rsidRDefault="007F7920">
          <w:pPr>
            <w:pStyle w:val="TOC2"/>
            <w:tabs>
              <w:tab w:val="right" w:leader="dot" w:pos="9350"/>
            </w:tabs>
            <w:rPr>
              <w:noProof/>
            </w:rPr>
          </w:pPr>
          <w:hyperlink w:anchor="_Toc228335832" w:history="1">
            <w:r>
              <w:rPr>
                <w:rStyle w:val="Hyperlink"/>
                <w:rFonts w:ascii="Times New Roman" w:hAnsi="Times New Roman" w:cs="Times New Roman"/>
                <w:noProof/>
              </w:rPr>
              <w:t>The Relational Framework: Categories and Obligations</w:t>
            </w:r>
            <w:r>
              <w:rPr>
                <w:noProof/>
                <w:webHidden/>
              </w:rPr>
              <w:tab/>
              <w:fldChar w:fldCharType="begin"/>
              <w:instrText xml:space="preserve"> PAGEREF _Toc228335832 \h </w:instrText>
              <w:fldChar w:fldCharType="separate"/>
              <w:t>96</w:t>
              <w:fldChar w:fldCharType="end"/>
            </w:r>
          </w:hyperlink>
        </w:p>
        <w:p w14:paraId="06B6005B" w14:textId="546E2EC7" w:rsidR="007F7920" w:rsidRDefault="007F7920">
          <w:pPr>
            <w:pStyle w:val="TOC2"/>
            <w:tabs>
              <w:tab w:val="right" w:leader="dot" w:pos="9350"/>
            </w:tabs>
            <w:rPr>
              <w:noProof/>
            </w:rPr>
          </w:pPr>
          <w:hyperlink w:anchor="_Toc228335833" w:history="1">
            <w:r>
              <w:rPr>
                <w:rStyle w:val="Hyperlink"/>
                <w:rFonts w:ascii="Times New Roman" w:hAnsi="Times New Roman" w:cs="Times New Roman"/>
                <w:noProof/>
              </w:rPr>
              <w:t>The Theodicy Question: Divine Justice and Human Suffering</w:t>
            </w:r>
            <w:r>
              <w:rPr>
                <w:noProof/>
                <w:webHidden/>
              </w:rPr>
              <w:tab/>
              <w:fldChar w:fldCharType="begin"/>
              <w:instrText xml:space="preserve"> PAGEREF _Toc228335833 \h </w:instrText>
              <w:fldChar w:fldCharType="separate"/>
              <w:t>97</w:t>
              <w:fldChar w:fldCharType="end"/>
            </w:r>
          </w:hyperlink>
        </w:p>
        <w:p w14:paraId="0F386034" w14:textId="45756E4C" w:rsidR="007F7920" w:rsidRDefault="007F7920">
          <w:pPr>
            <w:pStyle w:val="TOC2"/>
            <w:tabs>
              <w:tab w:val="right" w:leader="dot" w:pos="9350"/>
            </w:tabs>
            <w:rPr>
              <w:noProof/>
            </w:rPr>
          </w:pPr>
          <w:hyperlink w:anchor="_Toc228335834" w:history="1">
            <w:r>
              <w:rPr>
                <w:rStyle w:val="Hyperlink"/>
                <w:rFonts w:ascii="Times New Roman" w:hAnsi="Times New Roman" w:cs="Times New Roman"/>
                <w:noProof/>
              </w:rPr>
              <w:t>The Trajectory: From Flood to Cross to New Creation</w:t>
            </w:r>
            <w:r>
              <w:rPr>
                <w:noProof/>
                <w:webHidden/>
              </w:rPr>
              <w:tab/>
              <w:fldChar w:fldCharType="begin"/>
              <w:instrText xml:space="preserve"> PAGEREF _Toc228335834 \h </w:instrText>
              <w:fldChar w:fldCharType="separate"/>
              <w:t>98</w:t>
              <w:fldChar w:fldCharType="end"/>
            </w:r>
          </w:hyperlink>
        </w:p>
        <w:p w14:paraId="00CF66C3" w14:textId="590D5854" w:rsidR="007F7920" w:rsidRDefault="007F7920">
          <w:pPr>
            <w:pStyle w:val="TOC2"/>
            <w:tabs>
              <w:tab w:val="right" w:leader="dot" w:pos="9350"/>
            </w:tabs>
            <w:rPr>
              <w:noProof/>
            </w:rPr>
          </w:pPr>
          <w:hyperlink w:anchor="_Toc228335835" w:history="1">
            <w:r>
              <w:rPr>
                <w:rStyle w:val="Hyperlink"/>
                <w:rFonts w:ascii="Times New Roman" w:hAnsi="Times New Roman" w:cs="Times New Roman"/>
                <w:noProof/>
              </w:rPr>
              <w:t>Contemporary Application</w:t>
            </w:r>
            <w:r>
              <w:rPr>
                <w:noProof/>
                <w:webHidden/>
              </w:rPr>
              <w:tab/>
              <w:fldChar w:fldCharType="begin"/>
              <w:instrText xml:space="preserve"> PAGEREF _Toc228335835 \h </w:instrText>
              <w:fldChar w:fldCharType="separate"/>
              <w:t>101</w:t>
              <w:fldChar w:fldCharType="end"/>
            </w:r>
          </w:hyperlink>
        </w:p>
        <w:p w14:paraId="2FA5FF56" w14:textId="28A0AEC4" w:rsidR="007F7920" w:rsidRDefault="007F7920">
          <w:pPr>
            <w:pStyle w:val="TOC2"/>
            <w:tabs>
              <w:tab w:val="right" w:leader="dot" w:pos="9350"/>
            </w:tabs>
            <w:rPr>
              <w:noProof/>
            </w:rPr>
          </w:pPr>
          <w:hyperlink w:anchor="_Toc228335836" w:history="1">
            <w:r>
              <w:rPr>
                <w:rStyle w:val="Hyperlink"/>
                <w:rFonts w:ascii="Times New Roman" w:hAnsi="Times New Roman" w:cs="Times New Roman"/>
                <w:noProof/>
              </w:rPr>
              <w:t>Conclusion: From Flood to Cross to New Creation</w:t>
            </w:r>
            <w:r>
              <w:rPr>
                <w:noProof/>
                <w:webHidden/>
              </w:rPr>
              <w:tab/>
              <w:fldChar w:fldCharType="begin"/>
              <w:instrText xml:space="preserve"> PAGEREF _Toc228335836 \h </w:instrText>
              <w:fldChar w:fldCharType="separate"/>
              <w:t>102</w:t>
              <w:fldChar w:fldCharType="end"/>
            </w:r>
          </w:hyperlink>
        </w:p>
        <w:p w14:paraId="0E415E70" w14:textId="12F8F305" w:rsidR="007F7920" w:rsidRDefault="007F7920">
          <w:pPr>
            <w:pStyle w:val="TOC1"/>
            <w:tabs>
              <w:tab w:val="right" w:leader="dot" w:pos="9350"/>
            </w:tabs>
            <w:rPr>
              <w:noProof/>
            </w:rPr>
          </w:pPr>
          <w:hyperlink w:anchor="_Toc228335837" w:history="1">
            <w:r>
              <w:rPr>
                <w:rStyle w:val="Hyperlink"/>
                <w:rFonts w:ascii="Times New Roman" w:hAnsi="Times New Roman" w:cs="Times New Roman"/>
                <w:noProof/>
              </w:rPr>
              <w:t>Chapter Ten</w:t>
            </w:r>
            <w:r>
              <w:rPr>
                <w:noProof/>
                <w:webHidden/>
              </w:rPr>
              <w:tab/>
              <w:fldChar w:fldCharType="begin"/>
              <w:instrText xml:space="preserve"> PAGEREF _Toc228335837 \h </w:instrText>
              <w:fldChar w:fldCharType="separate"/>
              <w:t>107</w:t>
              <w:fldChar w:fldCharType="end"/>
            </w:r>
          </w:hyperlink>
        </w:p>
        <w:p w14:paraId="7CD0A5A5" w14:textId="6ED03F8D" w:rsidR="007F7920" w:rsidRDefault="007F7920">
          <w:pPr>
            <w:pStyle w:val="TOC1"/>
            <w:tabs>
              <w:tab w:val="right" w:leader="dot" w:pos="9350"/>
            </w:tabs>
            <w:rPr>
              <w:noProof/>
            </w:rPr>
          </w:pPr>
          <w:hyperlink w:anchor="_Toc228335838" w:history="1">
            <w:r>
              <w:rPr>
                <w:rStyle w:val="Hyperlink"/>
                <w:rFonts w:ascii="Times New Roman" w:hAnsi="Times New Roman" w:cs="Times New Roman"/>
                <w:noProof/>
              </w:rPr>
              <w:t>The Imprecatory Psalms: Prayer, Justice, and the Problem of Cursing</w:t>
            </w:r>
            <w:r>
              <w:rPr>
                <w:noProof/>
                <w:webHidden/>
              </w:rPr>
              <w:tab/>
              <w:fldChar w:fldCharType="begin"/>
              <w:instrText xml:space="preserve"> PAGEREF _Toc228335838 \h </w:instrText>
              <w:fldChar w:fldCharType="separate"/>
              <w:t>107</w:t>
              <w:fldChar w:fldCharType="end"/>
            </w:r>
          </w:hyperlink>
        </w:p>
        <w:p w14:paraId="6B6FA0EA" w14:textId="44404B74" w:rsidR="007F7920" w:rsidRDefault="007F7920">
          <w:pPr>
            <w:pStyle w:val="TOC2"/>
            <w:tabs>
              <w:tab w:val="right" w:leader="dot" w:pos="9350"/>
            </w:tabs>
            <w:rPr>
              <w:noProof/>
            </w:rPr>
          </w:pPr>
          <w:hyperlink w:anchor="_Toc228335839" w:history="1">
            <w:r>
              <w:rPr>
                <w:rStyle w:val="Hyperlink"/>
                <w:rFonts w:ascii="Times New Roman" w:hAnsi="Times New Roman" w:cs="Times New Roman"/>
                <w:noProof/>
              </w:rPr>
              <w:t>What Are the Imprecatory Psalms?</w:t>
            </w:r>
            <w:r>
              <w:rPr>
                <w:noProof/>
                <w:webHidden/>
              </w:rPr>
              <w:tab/>
              <w:fldChar w:fldCharType="begin"/>
              <w:instrText xml:space="preserve"> PAGEREF _Toc228335839 \h </w:instrText>
              <w:fldChar w:fldCharType="separate"/>
              <w:t>108</w:t>
              <w:fldChar w:fldCharType="end"/>
            </w:r>
          </w:hyperlink>
        </w:p>
        <w:p w14:paraId="347D1DE1" w14:textId="758A5830" w:rsidR="007F7920" w:rsidRDefault="007F7920">
          <w:pPr>
            <w:pStyle w:val="TOC2"/>
            <w:tabs>
              <w:tab w:val="right" w:leader="dot" w:pos="9350"/>
            </w:tabs>
            <w:rPr>
              <w:noProof/>
            </w:rPr>
          </w:pPr>
          <w:hyperlink w:anchor="_Toc228335840" w:history="1">
            <w:r>
              <w:rPr>
                <w:rStyle w:val="Hyperlink"/>
                <w:rFonts w:ascii="Times New Roman" w:hAnsi="Times New Roman" w:cs="Times New Roman"/>
                <w:noProof/>
              </w:rPr>
              <w:t>The Relational Context: Covenant Identity and Enemy Definition</w:t>
            </w:r>
            <w:r>
              <w:rPr>
                <w:noProof/>
                <w:webHidden/>
              </w:rPr>
              <w:tab/>
              <w:fldChar w:fldCharType="begin"/>
              <w:instrText xml:space="preserve"> PAGEREF _Toc228335840 \h </w:instrText>
              <w:fldChar w:fldCharType="separate"/>
              <w:t>109</w:t>
              <w:fldChar w:fldCharType="end"/>
            </w:r>
          </w:hyperlink>
        </w:p>
        <w:p w14:paraId="3EF017BB" w14:textId="0427980A" w:rsidR="007F7920" w:rsidRDefault="007F7920">
          <w:pPr>
            <w:pStyle w:val="TOC2"/>
            <w:tabs>
              <w:tab w:val="right" w:leader="dot" w:pos="9350"/>
            </w:tabs>
            <w:rPr>
              <w:noProof/>
            </w:rPr>
          </w:pPr>
          <w:hyperlink w:anchor="_Toc228335841" w:history="1">
            <w:r>
              <w:rPr>
                <w:rStyle w:val="Hyperlink"/>
                <w:rFonts w:ascii="Times New Roman" w:hAnsi="Times New Roman" w:cs="Times New Roman"/>
                <w:noProof/>
              </w:rPr>
              <w:t>The Function of Honest Prayer: When Sanitized Religion Fails</w:t>
            </w:r>
            <w:r>
              <w:rPr>
                <w:noProof/>
                <w:webHidden/>
              </w:rPr>
              <w:tab/>
              <w:fldChar w:fldCharType="begin"/>
              <w:instrText xml:space="preserve"> PAGEREF _Toc228335841 \h </w:instrText>
              <w:fldChar w:fldCharType="separate"/>
              <w:t>110</w:t>
              <w:fldChar w:fldCharType="end"/>
            </w:r>
          </w:hyperlink>
        </w:p>
        <w:p w14:paraId="1BCB365B" w14:textId="6E8D6033" w:rsidR="007F7920" w:rsidRDefault="007F7920">
          <w:pPr>
            <w:pStyle w:val="TOC2"/>
            <w:tabs>
              <w:tab w:val="right" w:leader="dot" w:pos="9350"/>
            </w:tabs>
            <w:rPr>
              <w:noProof/>
            </w:rPr>
          </w:pPr>
          <w:hyperlink w:anchor="_Toc228335842" w:history="1">
            <w:r>
              <w:rPr>
                <w:rStyle w:val="Hyperlink"/>
                <w:rFonts w:ascii="Times New Roman" w:hAnsi="Times New Roman" w:cs="Times New Roman"/>
                <w:noProof/>
              </w:rPr>
              <w:t>The Justice Dimension: Crying Out Against Real Evil</w:t>
            </w:r>
            <w:r>
              <w:rPr>
                <w:noProof/>
                <w:webHidden/>
              </w:rPr>
              <w:tab/>
              <w:fldChar w:fldCharType="begin"/>
              <w:instrText xml:space="preserve"> PAGEREF _Toc228335842 \h </w:instrText>
              <w:fldChar w:fldCharType="separate"/>
              <w:t>111</w:t>
              <w:fldChar w:fldCharType="end"/>
            </w:r>
          </w:hyperlink>
        </w:p>
        <w:p w14:paraId="5DF0F73B" w14:textId="4B48F510" w:rsidR="007F7920" w:rsidRDefault="007F7920">
          <w:pPr>
            <w:pStyle w:val="TOC2"/>
            <w:tabs>
              <w:tab w:val="right" w:leader="dot" w:pos="9350"/>
            </w:tabs>
            <w:rPr>
              <w:noProof/>
            </w:rPr>
          </w:pPr>
          <w:hyperlink w:anchor="_Toc228335843" w:history="1">
            <w:r>
              <w:rPr>
                <w:rStyle w:val="Hyperlink"/>
                <w:rFonts w:ascii="Times New Roman" w:hAnsi="Times New Roman" w:cs="Times New Roman"/>
                <w:noProof/>
              </w:rPr>
              <w:t>The Ancient Near Eastern Context: Treaties, Curses, and Covenant</w:t>
            </w:r>
            <w:r>
              <w:rPr>
                <w:noProof/>
                <w:webHidden/>
              </w:rPr>
              <w:tab/>
              <w:fldChar w:fldCharType="begin"/>
              <w:instrText xml:space="preserve"> PAGEREF _Toc228335843 \h </w:instrText>
              <w:fldChar w:fldCharType="separate"/>
              <w:t>113</w:t>
              <w:fldChar w:fldCharType="end"/>
            </w:r>
          </w:hyperlink>
        </w:p>
        <w:p w14:paraId="004978CA" w14:textId="7A551441" w:rsidR="007F7920" w:rsidRDefault="007F7920">
          <w:pPr>
            <w:pStyle w:val="TOC2"/>
            <w:tabs>
              <w:tab w:val="right" w:leader="dot" w:pos="9350"/>
            </w:tabs>
            <w:rPr>
              <w:noProof/>
            </w:rPr>
          </w:pPr>
          <w:hyperlink w:anchor="_Toc228335844" w:history="1">
            <w:r>
              <w:rPr>
                <w:rStyle w:val="Hyperlink"/>
                <w:rFonts w:ascii="Times New Roman" w:hAnsi="Times New Roman" w:cs="Times New Roman"/>
                <w:noProof/>
              </w:rPr>
              <w:t>Exegetical Analysis: Three Representative Psalms</w:t>
            </w:r>
            <w:r>
              <w:rPr>
                <w:noProof/>
                <w:webHidden/>
              </w:rPr>
              <w:tab/>
              <w:fldChar w:fldCharType="begin"/>
              <w:instrText xml:space="preserve"> PAGEREF _Toc228335844 \h </w:instrText>
              <w:fldChar w:fldCharType="separate"/>
              <w:t>114</w:t>
              <w:fldChar w:fldCharType="end"/>
            </w:r>
          </w:hyperlink>
        </w:p>
        <w:p w14:paraId="1DAB9582" w14:textId="1B275F70" w:rsidR="007F7920" w:rsidRDefault="007F7920">
          <w:pPr>
            <w:pStyle w:val="TOC2"/>
            <w:tabs>
              <w:tab w:val="right" w:leader="dot" w:pos="9350"/>
            </w:tabs>
            <w:rPr>
              <w:noProof/>
            </w:rPr>
          </w:pPr>
          <w:hyperlink w:anchor="_Toc228335845" w:history="1">
            <w:r>
              <w:rPr>
                <w:rStyle w:val="Hyperlink"/>
                <w:rFonts w:ascii="Times New Roman" w:hAnsi="Times New Roman" w:cs="Times New Roman"/>
                <w:noProof/>
              </w:rPr>
              <w:t>The New Testament Transformation: Love Enemies and Pray for Justice</w:t>
            </w:r>
            <w:r>
              <w:rPr>
                <w:noProof/>
                <w:webHidden/>
              </w:rPr>
              <w:tab/>
              <w:fldChar w:fldCharType="begin"/>
              <w:instrText xml:space="preserve"> PAGEREF _Toc228335845 \h </w:instrText>
              <w:fldChar w:fldCharType="separate"/>
              <w:t>116</w:t>
              <w:fldChar w:fldCharType="end"/>
            </w:r>
          </w:hyperlink>
        </w:p>
        <w:p w14:paraId="5A935193" w14:textId="195D5E82" w:rsidR="007F7920" w:rsidRDefault="007F7920">
          <w:pPr>
            <w:pStyle w:val="TOC2"/>
            <w:tabs>
              <w:tab w:val="right" w:leader="dot" w:pos="9350"/>
            </w:tabs>
            <w:rPr>
              <w:noProof/>
            </w:rPr>
          </w:pPr>
          <w:hyperlink w:anchor="_Toc228335846" w:history="1">
            <w:r>
              <w:rPr>
                <w:rStyle w:val="Hyperlink"/>
                <w:rFonts w:ascii="Times New Roman" w:hAnsi="Times New Roman" w:cs="Times New Roman"/>
                <w:noProof/>
              </w:rPr>
              <w:t>Contemporary Application: When and How We Pray These Psalms</w:t>
            </w:r>
            <w:r>
              <w:rPr>
                <w:noProof/>
                <w:webHidden/>
              </w:rPr>
              <w:tab/>
              <w:fldChar w:fldCharType="begin"/>
              <w:instrText xml:space="preserve"> PAGEREF _Toc228335846 \h </w:instrText>
              <w:fldChar w:fldCharType="separate"/>
              <w:t>118</w:t>
              <w:fldChar w:fldCharType="end"/>
            </w:r>
          </w:hyperlink>
        </w:p>
        <w:p w14:paraId="60AD6937" w14:textId="3C0479A7" w:rsidR="007F7920" w:rsidRDefault="007F7920">
          <w:pPr>
            <w:pStyle w:val="TOC2"/>
            <w:tabs>
              <w:tab w:val="right" w:leader="dot" w:pos="9350"/>
            </w:tabs>
            <w:rPr>
              <w:noProof/>
            </w:rPr>
          </w:pPr>
          <w:hyperlink w:anchor="_Toc228335847" w:history="1">
            <w:r>
              <w:rPr>
                <w:rStyle w:val="Hyperlink"/>
                <w:rFonts w:ascii="Times New Roman" w:hAnsi="Times New Roman" w:cs="Times New Roman"/>
                <w:noProof/>
              </w:rPr>
              <w:t>Conclusion: The Cry for Justice and the Call to Love</w:t>
            </w:r>
            <w:r>
              <w:rPr>
                <w:noProof/>
                <w:webHidden/>
              </w:rPr>
              <w:tab/>
              <w:fldChar w:fldCharType="begin"/>
              <w:instrText xml:space="preserve"> PAGEREF _Toc228335847 \h </w:instrText>
              <w:fldChar w:fldCharType="separate"/>
              <w:t>119</w:t>
              <w:fldChar w:fldCharType="end"/>
            </w:r>
          </w:hyperlink>
        </w:p>
        <w:p w14:paraId="77AA43A3" w14:textId="48CFE6DC" w:rsidR="007F7920" w:rsidRDefault="007F7920">
          <w:pPr>
            <w:pStyle w:val="TOC1"/>
            <w:tabs>
              <w:tab w:val="right" w:leader="dot" w:pos="9350"/>
            </w:tabs>
            <w:rPr>
              <w:noProof/>
            </w:rPr>
          </w:pPr>
          <w:hyperlink w:anchor="_Toc228335848" w:history="1">
            <w:r>
              <w:rPr>
                <w:rStyle w:val="Hyperlink"/>
                <w:rFonts w:ascii="Times New Roman" w:hAnsi="Times New Roman" w:cs="Times New Roman"/>
                <w:noProof/>
              </w:rPr>
              <w:t>Chapter Eleven</w:t>
            </w:r>
            <w:r>
              <w:rPr>
                <w:noProof/>
                <w:webHidden/>
              </w:rPr>
              <w:tab/>
              <w:fldChar w:fldCharType="begin"/>
              <w:instrText xml:space="preserve"> PAGEREF _Toc228335848 \h </w:instrText>
              <w:fldChar w:fldCharType="separate"/>
              <w:t>123</w:t>
              <w:fldChar w:fldCharType="end"/>
            </w:r>
          </w:hyperlink>
        </w:p>
        <w:p w14:paraId="59F1AA31" w14:textId="08438002" w:rsidR="007F7920" w:rsidRDefault="007F7920">
          <w:pPr>
            <w:pStyle w:val="TOC1"/>
            <w:tabs>
              <w:tab w:val="right" w:leader="dot" w:pos="9350"/>
            </w:tabs>
            <w:rPr>
              <w:noProof/>
            </w:rPr>
          </w:pPr>
          <w:hyperlink w:anchor="_Toc228335849" w:history="1">
            <w:r>
              <w:rPr>
                <w:rStyle w:val="Hyperlink"/>
                <w:rFonts w:ascii="Times New Roman" w:hAnsi="Times New Roman" w:cs="Times New Roman"/>
                <w:noProof/>
              </w:rPr>
              <w:t>The Framework Under Pressure</w:t>
            </w:r>
            <w:r>
              <w:rPr>
                <w:noProof/>
                <w:webHidden/>
              </w:rPr>
              <w:tab/>
              <w:fldChar w:fldCharType="begin"/>
              <w:instrText xml:space="preserve"> PAGEREF _Toc228335849 \h </w:instrText>
              <w:fldChar w:fldCharType="separate"/>
              <w:t>123</w:t>
              <w:fldChar w:fldCharType="end"/>
            </w:r>
          </w:hyperlink>
        </w:p>
        <w:p w14:paraId="271AFBE2" w14:textId="31528549" w:rsidR="007F7920" w:rsidRDefault="007F7920">
          <w:pPr>
            <w:pStyle w:val="TOC2"/>
            <w:tabs>
              <w:tab w:val="right" w:leader="dot" w:pos="9350"/>
            </w:tabs>
            <w:rPr>
              <w:noProof/>
            </w:rPr>
          </w:pPr>
          <w:hyperlink w:anchor="_Toc228335850" w:history="1">
            <w:r>
              <w:rPr>
                <w:rStyle w:val="Hyperlink"/>
                <w:rFonts w:ascii="Times New Roman" w:hAnsi="Times New Roman" w:cs="Times New Roman"/>
                <w:noProof/>
              </w:rPr>
              <w:t>The Grounding Objection: Assuming What Needs to Be Proved</w:t>
            </w:r>
            <w:r>
              <w:rPr>
                <w:noProof/>
                <w:webHidden/>
              </w:rPr>
              <w:tab/>
              <w:fldChar w:fldCharType="begin"/>
              <w:instrText xml:space="preserve"> PAGEREF _Toc228335850 \h </w:instrText>
              <w:fldChar w:fldCharType="separate"/>
              <w:t>123</w:t>
              <w:fldChar w:fldCharType="end"/>
            </w:r>
          </w:hyperlink>
        </w:p>
        <w:p w14:paraId="513DDE06" w14:textId="59B6C11D" w:rsidR="007F7920" w:rsidRDefault="007F7920">
          <w:pPr>
            <w:pStyle w:val="TOC2"/>
            <w:tabs>
              <w:tab w:val="right" w:leader="dot" w:pos="9350"/>
            </w:tabs>
            <w:rPr>
              <w:noProof/>
            </w:rPr>
          </w:pPr>
          <w:hyperlink w:anchor="_Toc228335851" w:history="1">
            <w:r>
              <w:rPr>
                <w:rStyle w:val="Hyperlink"/>
                <w:rFonts w:ascii="Times New Roman" w:hAnsi="Times New Roman" w:cs="Times New Roman"/>
                <w:noProof/>
              </w:rPr>
              <w:t>The Favoritism Objection: Proximity as Tribalism</w:t>
            </w:r>
            <w:r>
              <w:rPr>
                <w:noProof/>
                <w:webHidden/>
              </w:rPr>
              <w:tab/>
              <w:fldChar w:fldCharType="begin"/>
              <w:instrText xml:space="preserve"> PAGEREF _Toc228335851 \h </w:instrText>
              <w:fldChar w:fldCharType="separate"/>
              <w:t>124</w:t>
              <w:fldChar w:fldCharType="end"/>
            </w:r>
          </w:hyperlink>
        </w:p>
        <w:p w14:paraId="4D7B6C9D" w14:textId="5A61E04E" w:rsidR="007F7920" w:rsidRDefault="007F7920">
          <w:pPr>
            <w:pStyle w:val="TOC2"/>
            <w:tabs>
              <w:tab w:val="right" w:leader="dot" w:pos="9350"/>
            </w:tabs>
            <w:rPr>
              <w:noProof/>
            </w:rPr>
          </w:pPr>
          <w:hyperlink w:anchor="_Toc228335852" w:history="1">
            <w:r>
              <w:rPr>
                <w:rStyle w:val="Hyperlink"/>
                <w:rFonts w:ascii="Times New Roman" w:hAnsi="Times New Roman" w:cs="Times New Roman"/>
                <w:noProof/>
              </w:rPr>
              <w:t>The Hermeneutical Objection: Readings Too Convenient</w:t>
            </w:r>
            <w:r>
              <w:rPr>
                <w:noProof/>
                <w:webHidden/>
              </w:rPr>
              <w:tab/>
              <w:fldChar w:fldCharType="begin"/>
              <w:instrText xml:space="preserve"> PAGEREF _Toc228335852 \h </w:instrText>
              <w:fldChar w:fldCharType="separate"/>
              <w:t>125</w:t>
              <w:fldChar w:fldCharType="end"/>
            </w:r>
          </w:hyperlink>
        </w:p>
        <w:p w14:paraId="1302941C" w14:textId="708A53D4" w:rsidR="007F7920" w:rsidRDefault="007F7920">
          <w:pPr>
            <w:pStyle w:val="TOC2"/>
            <w:tabs>
              <w:tab w:val="right" w:leader="dot" w:pos="9350"/>
            </w:tabs>
            <w:rPr>
              <w:noProof/>
            </w:rPr>
          </w:pPr>
          <w:hyperlink w:anchor="_Toc228335853" w:history="1">
            <w:r>
              <w:rPr>
                <w:rStyle w:val="Hyperlink"/>
                <w:rFonts w:ascii="Times New Roman" w:hAnsi="Times New Roman" w:cs="Times New Roman"/>
                <w:noProof/>
              </w:rPr>
              <w:t>The Adjudication Objection: Wisdom Without Criteria</w:t>
            </w:r>
            <w:r>
              <w:rPr>
                <w:noProof/>
                <w:webHidden/>
              </w:rPr>
              <w:tab/>
              <w:fldChar w:fldCharType="begin"/>
              <w:instrText xml:space="preserve"> PAGEREF _Toc228335853 \h </w:instrText>
              <w:fldChar w:fldCharType="separate"/>
              <w:t>127</w:t>
              <w:fldChar w:fldCharType="end"/>
            </w:r>
          </w:hyperlink>
        </w:p>
        <w:p w14:paraId="64F8BE2D" w14:textId="058D93B8" w:rsidR="007F7920" w:rsidRDefault="007F7920">
          <w:pPr>
            <w:pStyle w:val="TOC2"/>
            <w:tabs>
              <w:tab w:val="right" w:leader="dot" w:pos="9350"/>
            </w:tabs>
            <w:rPr>
              <w:noProof/>
            </w:rPr>
          </w:pPr>
          <w:hyperlink w:anchor="_Toc228335854" w:history="1">
            <w:r>
              <w:rPr>
                <w:rStyle w:val="Hyperlink"/>
                <w:rFonts w:ascii="Times New Roman" w:hAnsi="Times New Roman" w:cs="Times New Roman"/>
                <w:noProof/>
              </w:rPr>
              <w:t>The Residue Objection: Unacknowledged Moral Costs</w:t>
            </w:r>
            <w:r>
              <w:rPr>
                <w:noProof/>
                <w:webHidden/>
              </w:rPr>
              <w:tab/>
              <w:fldChar w:fldCharType="begin"/>
              <w:instrText xml:space="preserve"> PAGEREF _Toc228335854 \h </w:instrText>
              <w:fldChar w:fldCharType="separate"/>
              <w:t>128</w:t>
              <w:fldChar w:fldCharType="end"/>
            </w:r>
          </w:hyperlink>
        </w:p>
        <w:p w14:paraId="35A4B38B" w14:textId="02608DDF" w:rsidR="007F7920" w:rsidRDefault="007F7920">
          <w:pPr>
            <w:pStyle w:val="TOC2"/>
            <w:tabs>
              <w:tab w:val="right" w:leader="dot" w:pos="9350"/>
            </w:tabs>
            <w:rPr>
              <w:noProof/>
            </w:rPr>
          </w:pPr>
          <w:hyperlink w:anchor="_Toc228335855" w:history="1">
            <w:r>
              <w:rPr>
                <w:rStyle w:val="Hyperlink"/>
                <w:rFonts w:ascii="Times New Roman" w:hAnsi="Times New Roman" w:cs="Times New Roman"/>
                <w:noProof/>
              </w:rPr>
              <w:t>What the Framework Claims and What It Does Not</w:t>
            </w:r>
            <w:r>
              <w:rPr>
                <w:noProof/>
                <w:webHidden/>
              </w:rPr>
              <w:tab/>
              <w:fldChar w:fldCharType="begin"/>
              <w:instrText xml:space="preserve"> PAGEREF _Toc228335855 \h </w:instrText>
              <w:fldChar w:fldCharType="separate"/>
              <w:t>129</w:t>
              <w:fldChar w:fldCharType="end"/>
            </w:r>
          </w:hyperlink>
        </w:p>
        <w:p w14:paraId="0A88A441" w14:textId="296AA88C" w:rsidR="007F7920" w:rsidRDefault="007F7920">
          <w:pPr>
            <w:pStyle w:val="TOC1"/>
            <w:tabs>
              <w:tab w:val="right" w:leader="dot" w:pos="9350"/>
            </w:tabs>
            <w:rPr>
              <w:noProof/>
            </w:rPr>
          </w:pPr>
          <w:hyperlink w:anchor="_Toc228335856" w:history="1">
            <w:r>
              <w:rPr>
                <w:rStyle w:val="Hyperlink"/>
                <w:rFonts w:ascii="Times New Roman" w:hAnsi="Times New Roman" w:cs="Times New Roman"/>
                <w:noProof/>
              </w:rPr>
              <w:t>Chapter Twelve Two Directions of One Love</w:t>
            </w:r>
            <w:r>
              <w:rPr>
                <w:noProof/>
                <w:webHidden/>
              </w:rPr>
              <w:tab/>
              <w:fldChar w:fldCharType="begin"/>
              <w:instrText xml:space="preserve"> PAGEREF _Toc228335856 \h </w:instrText>
              <w:fldChar w:fldCharType="separate"/>
              <w:t>133</w:t>
              <w:fldChar w:fldCharType="end"/>
            </w:r>
          </w:hyperlink>
        </w:p>
        <w:p w14:paraId="37121367" w14:textId="141A6E72" w:rsidR="007F7920" w:rsidRDefault="007F7920">
          <w:pPr>
            <w:pStyle w:val="TOC1"/>
            <w:tabs>
              <w:tab w:val="right" w:leader="dot" w:pos="9350"/>
            </w:tabs>
            <w:rPr>
              <w:noProof/>
            </w:rPr>
          </w:pPr>
          <w:hyperlink w:anchor="_Toc228335857" w:history="1">
            <w:r>
              <w:rPr>
                <w:rStyle w:val="Hyperlink"/>
                <w:rFonts w:ascii="Times New Roman" w:hAnsi="Times New Roman" w:cs="Times New Roman"/>
                <w:noProof/>
              </w:rPr>
              <w:t>Chapter Thirteen The Theatre and the Prior Love</w:t>
            </w:r>
            <w:r>
              <w:rPr>
                <w:noProof/>
                <w:webHidden/>
              </w:rPr>
              <w:tab/>
              <w:fldChar w:fldCharType="begin"/>
              <w:instrText xml:space="preserve"> PAGEREF _Toc228335857 \h </w:instrText>
              <w:fldChar w:fldCharType="separate"/>
              <w:t>143</w:t>
              <w:fldChar w:fldCharType="end"/>
            </w:r>
          </w:hyperlink>
        </w:p>
        <w:p w14:paraId="4B7F1C53" w14:textId="42A65476" w:rsidR="007F7920" w:rsidRDefault="007F7920">
          <w:pPr>
            <w:pStyle w:val="TOC1"/>
            <w:tabs>
              <w:tab w:val="right" w:leader="dot" w:pos="9350"/>
            </w:tabs>
            <w:rPr>
              <w:noProof/>
            </w:rPr>
          </w:pPr>
          <w:hyperlink w:anchor="_Toc228335858" w:history="1">
            <w:r>
              <w:rPr>
                <w:rStyle w:val="Hyperlink"/>
                <w:rFonts w:ascii="Times New Roman" w:hAnsi="Times New Roman" w:cs="Times New Roman"/>
                <w:noProof/>
              </w:rPr>
              <w:t>Conclusion The Shape of a Life</w:t>
            </w:r>
            <w:r>
              <w:rPr>
                <w:noProof/>
                <w:webHidden/>
              </w:rPr>
              <w:tab/>
              <w:fldChar w:fldCharType="begin"/>
              <w:instrText xml:space="preserve"> PAGEREF _Toc228335858 \h </w:instrText>
              <w:fldChar w:fldCharType="separate"/>
              <w:t>154</w:t>
              <w:fldChar w:fldCharType="end"/>
            </w:r>
          </w:hyperlink>
        </w:p>
        <w:p w14:paraId="666E880C" w14:textId="48959E3D" w:rsidR="007F7920" w:rsidRDefault="007F7920">
          <w:pPr>
            <w:pStyle w:val="TOC1"/>
            <w:tabs>
              <w:tab w:val="right" w:leader="dot" w:pos="9350"/>
            </w:tabs>
            <w:rPr>
              <w:noProof/>
            </w:rPr>
          </w:pPr>
          <w:hyperlink w:anchor="_Toc228335859" w:history="1">
            <w:r>
              <w:rPr>
                <w:rStyle w:val="Hyperlink"/>
                <w:rFonts w:ascii="Times New Roman" w:hAnsi="Times New Roman" w:cs="Times New Roman"/>
                <w:noProof/>
              </w:rPr>
              <w:t>Annotated Bibliography</w:t>
            </w:r>
            <w:r>
              <w:rPr>
                <w:noProof/>
                <w:webHidden/>
              </w:rPr>
              <w:tab/>
              <w:fldChar w:fldCharType="begin"/>
              <w:instrText xml:space="preserve"> PAGEREF _Toc228335859 \h </w:instrText>
              <w:fldChar w:fldCharType="separate"/>
              <w:t>157</w:t>
              <w:fldChar w:fldCharType="end"/>
            </w:r>
          </w:hyperlink>
        </w:p>
        <w:p w14:paraId="4DCE686A" w14:textId="2EE46234" w:rsidR="007F7920" w:rsidRDefault="007F7920">
          <w:r>
            <w:rPr>
              <w:b/>
              <w:bCs/>
              <w:noProof/>
            </w:rPr>
            <w:fldChar w:fldCharType="end"/>
          </w:r>
        </w:p>
      </w:sdtContent>
    </w:sdt>
    <w:p w14:paraId="62CACCB1" w14:textId="77777777" w:rsidR="007F7920" w:rsidRDefault="007F7920">
      <w:pPr>
        <w:rPr>
          <w:rFonts w:ascii="Times New Roman" w:hAnsi="Times New Roman" w:cs="Times New Roman"/>
          <w:b/>
          <w:bCs/>
          <w:color w:val="1A1A1A"/>
          <w:sz w:val="28"/>
          <w:szCs w:val="28"/>
        </w:rPr>
      </w:pPr>
      <w:bookmarkStart w:id="0" w:name="_Toc228335806"/>
      <w:r>
        <w:rPr>
          <w:rFonts w:ascii="Times New Roman" w:hAnsi="Times New Roman" w:cs="Times New Roman"/>
          <w:sz w:val="28"/>
          <w:szCs w:val="28"/>
        </w:rPr>
        <w:br w:type="page"/>
      </w:r>
    </w:p>
    <w:p w14:paraId="5674A69E" w14:textId="4C9DF4F2" w:rsidR="00551905" w:rsidRPr="00D445AD" w:rsidRDefault="00000000" w:rsidP="00850CC8">
      <w:pPr>
        <w:pStyle w:val="Heading1"/>
        <w:spacing w:after="320" w:line="276" w:lineRule="auto"/>
        <w:jc w:val="center"/>
        <w:rPr>
          <w:rFonts w:ascii="Times New Roman" w:hAnsi="Times New Roman" w:cs="Times New Roman"/>
          <w:sz w:val="28"/>
          <w:szCs w:val="28"/>
        </w:rPr>
      </w:pPr>
      <w:r>
        <w:rPr>
          <w:rFonts w:ascii="Times New Roman" w:hAnsi="Times New Roman" w:cs="Times New Roman"/>
          <w:sz w:val="28"/>
          <w:szCs w:val="28"/>
        </w:rPr>
        <w:lastRenderedPageBreak/>
        <w:t>Introduction: The Shape of Love</w:t>
      </w:r>
      <w:bookmarkEnd w:id="0"/>
    </w:p>
    <w:p w14:paraId="5428F010" w14:textId="77777777" w:rsidR="00551905" w:rsidRPr="00850CC8" w:rsidRDefault="00000000"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Something in the way we actually live our moral lives resists the simplicity that some ethical theories often tend to prefer. We know, without being told, that we owe our children something we do not owe a stranger. We know that forgiving a wrong done to us is different from pretending the wrong never happened. We know that justice and mercy belong together somehow, even when we cannot quite say how. These are not confused intuitions waiting to be corrected by a more rigorous framework. They are, I want to suggest, reliable signals pointing toward something true about the structure of moral reality itself. And one thing they signal with particular insistence is that the moral life is always situated. It is always lived from within a particular web of relationships, at a particular distance from people, with a specific history behind it. The obligations that arise from standing close to someone, in kinship or friendship, are not embarrassing exceptions to a more rigorous universal ethics. They are among the clearest windows we have into what ethics actually is.</w:t>
      </w:r>
      <w:r>
        <w:rPr>
          <w:rFonts w:ascii="Times New Roman" w:hAnsi="Times New Roman" w:cs="Times New Roman"/>
          <w:sz w:val="22"/>
          <w:szCs w:val="22"/>
          <w:vertAlign w:val="superscript"/>
        </w:rPr>
        <w:t>1</w:t>
      </w:r>
    </w:p>
    <w:p w14:paraId="418E6889" w14:textId="77777777" w:rsidR="00551905" w:rsidRPr="00850CC8" w:rsidRDefault="00000000"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This book is an attempt to follow those signals where they lead.</w:t>
      </w:r>
    </w:p>
    <w:p w14:paraId="0F4D17A1" w14:textId="77777777" w:rsidR="00551905" w:rsidRPr="00850CC8" w:rsidRDefault="00000000"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They lead, I think, to a place that is both more ancient and stranger than many ethical discussions tend to assume. The deepest ground of moral life is not a principle, however elegant, nor a calculation, however refined. It is a relationship, or more precisely, a living relationship so fundamental that everything else in the moral universe turns out to be a reflection of it. Christian theology calls that life the Trinity: Father, Son, and Holy Spirit, existing in eternal, self-giving love. The claim of what follows is that when we understand what the inner life of God is actually like, the shape of the moral life we are called to live begins to make a kind of sense it cannot make on any other foundation. That claim is a large one, and I want to hold it with appropriate humility throughout this book. What is offered here is not a complete system but a way of seeing, an angle of vision that, once opened up, illuminates features of our moral experience that tend to remain in shadow when we approach them from other directions.</w:t>
      </w:r>
      <w:r>
        <w:rPr>
          <w:rFonts w:ascii="Times New Roman" w:hAnsi="Times New Roman" w:cs="Times New Roman"/>
          <w:sz w:val="22"/>
          <w:szCs w:val="22"/>
          <w:vertAlign w:val="superscript"/>
        </w:rPr>
        <w:t>2</w:t>
      </w:r>
    </w:p>
    <w:p w14:paraId="1B903662" w14:textId="77777777" w:rsidR="00551905" w:rsidRPr="00850CC8" w:rsidRDefault="00000000"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There is a sentence in the First Letter of John that has returned to me again and again as I have worked through these questions: “We love because he first loved us.”</w:t>
      </w:r>
      <w:r>
        <w:rPr>
          <w:rFonts w:ascii="Times New Roman" w:hAnsi="Times New Roman" w:cs="Times New Roman"/>
          <w:sz w:val="22"/>
          <w:szCs w:val="22"/>
          <w:vertAlign w:val="superscript"/>
        </w:rPr>
        <w:t>3</w:t>
      </w:r>
      <w:r>
        <w:rPr>
          <w:rFonts w:ascii="Times New Roman" w:hAnsi="Times New Roman" w:cs="Times New Roman"/>
          <w:sz w:val="22"/>
          <w:szCs w:val="22"/>
        </w:rPr>
        <w:t xml:space="preserve"> The grammar of that sentence is worth some time. John does not say that we love as a consequence of some divine capacity poured into us from above. He says that we love because he first loved, where the “because” carries the force of personal response to a personal initiative. His love is prior. It preceded ours not as a reservoir precedes a stream but as an act of one person precedes the answering act of another. The love that grounds our moral life is not a substance transmitted to us but an invitation extended to us, and our love is the response that the invitation calls forth.</w:t>
      </w:r>
    </w:p>
    <w:p w14:paraId="06831E9A" w14:textId="77777777" w:rsidR="00551905" w:rsidRPr="00850CC8" w:rsidRDefault="00000000"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 xml:space="preserve">This distinction matters more than it might first appear, and it matters precisely at the point where abstract ethical theory most consistently fails. The dominant frameworks of Western moral philosophy have tended to treat the moral agent as essentially placeless: a rational will behind a veil of ignorance, a calculator of consequences with no special stake in any particular outcome, a legislator of universal principles binding on all persons equally regardless of the relationships in which they actually stand. What these frameworks cannot easily accommodate is the moral weight of proximity. They have no principled account of why my obligation to my child is not simply a special case of my obligation to everyone, why the covenant I have made with one person generates duties that I do not owe to strangers, why God’s patient dealing with one particular people across centuries of history is not mere favoritism but a disclosure of how love actually operates when it takes a person seriously. The argument of this book </w:t>
        <w:lastRenderedPageBreak/>
        <w:t>is that proximity is not a complication to be explained away. It is a feature of the moral life because it is a feature of the God whose image we bear. God does not love in the abstract. He addresses individuals by name, enters into specific covenants with distinct communities, and in the Incarnation draws as close as it is possible to draw. The situational character of ethical obligation is not a concession to human weakness. It is a reflection of the character of a God who is always, already, personally near.</w:t>
      </w:r>
      <w:r>
        <w:rPr>
          <w:rFonts w:ascii="Times New Roman" w:hAnsi="Times New Roman" w:cs="Times New Roman"/>
          <w:sz w:val="22"/>
          <w:szCs w:val="22"/>
          <w:vertAlign w:val="superscript"/>
        </w:rPr>
        <w:t>4</w:t>
      </w:r>
    </w:p>
    <w:p w14:paraId="6F39BAFB" w14:textId="77777777" w:rsidR="00551905" w:rsidRPr="00850CC8" w:rsidRDefault="00000000"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This is what makes the prior love of 1 John 4:19 the right place to begin. We are not first moral agents who subsequently discover that love is required of us. We are persons who have been loved first, addressed by name before we could answer, drawn into a relationship we did not initiate and cannot sustain by our own effort. Our morality takes a responsive, responsible form when it understands this. Ethics, in this sense, is not fundamentally about what we must do. It is about who we are in light of who God is and what God has done.</w:t>
      </w:r>
      <w:r>
        <w:rPr>
          <w:rFonts w:ascii="Times New Roman" w:hAnsi="Times New Roman" w:cs="Times New Roman"/>
          <w:sz w:val="22"/>
          <w:szCs w:val="22"/>
          <w:vertAlign w:val="superscript"/>
        </w:rPr>
        <w:t>5</w:t>
      </w:r>
    </w:p>
    <w:p w14:paraId="14C72280" w14:textId="77777777" w:rsidR="00551905" w:rsidRPr="00850CC8" w:rsidRDefault="00000000"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The personalist tradition in philosophy and theology has been pressing a related claim from a different angle for well over a century. Thinkers working within that tradition have insisted that the person, understood as a being constituted by relation and oriented toward communion, is the irreducible starting point for both ontology and ethics. Personhood is not a property added to a more basic biological or rational substrate. It is the primary reality, and any ethics that abstracts from the concrete personhood of the one who acts and the one who is acted upon will eventually lose its grip on what matters. What the Trinitarian argument of this book contributes to that insight is a theological address: the reason personhood is irreducible is that the God who made us personal is himself irreducibly personal, and personal in a way that is constituted by the very relations of love that our moral life is meant to reflect.</w:t>
      </w:r>
      <w:r>
        <w:rPr>
          <w:rFonts w:ascii="Times New Roman" w:hAnsi="Times New Roman" w:cs="Times New Roman"/>
          <w:sz w:val="22"/>
          <w:szCs w:val="22"/>
          <w:vertAlign w:val="superscript"/>
        </w:rPr>
        <w:t>6</w:t>
      </w:r>
    </w:p>
    <w:p w14:paraId="368350F5" w14:textId="77777777" w:rsidR="00551905" w:rsidRPr="00850CC8" w:rsidRDefault="00000000" w:rsidP="00850CC8">
      <w:pPr>
        <w:pStyle w:val="Heading2"/>
        <w:spacing w:line="276" w:lineRule="auto"/>
        <w:rPr>
          <w:rFonts w:ascii="Times New Roman" w:hAnsi="Times New Roman" w:cs="Times New Roman"/>
          <w:sz w:val="22"/>
          <w:szCs w:val="22"/>
        </w:rPr>
      </w:pPr>
      <w:bookmarkStart w:id="1" w:name="_Toc228335807"/>
      <w:r>
        <w:rPr>
          <w:rFonts w:ascii="Times New Roman" w:hAnsi="Times New Roman" w:cs="Times New Roman"/>
          <w:sz w:val="22"/>
          <w:szCs w:val="22"/>
        </w:rPr>
        <w:t>A Conversation Already Underway</w:t>
      </w:r>
      <w:bookmarkEnd w:id="1"/>
    </w:p>
    <w:p w14:paraId="66C59347" w14:textId="77777777" w:rsidR="00551905" w:rsidRPr="00850CC8" w:rsidRDefault="00000000"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This book joins a conversation that has been gathering for some time. A number of thinkers, working from quite different starting points, have been pressing the case that a moral life is more deeply relational than the dominant frameworks of Western ethical theory have been willing to acknowledge. Carol Gilligan’s early work on care and relationship offered evidence, drawn from developmental psychology, that standard accounts of moral reasoning had been built around one kind of moral voice while treating another kind as immature or derivative.</w:t>
      </w:r>
      <w:r>
        <w:rPr>
          <w:rFonts w:ascii="Times New Roman" w:hAnsi="Times New Roman" w:cs="Times New Roman"/>
          <w:sz w:val="22"/>
          <w:szCs w:val="22"/>
          <w:vertAlign w:val="superscript"/>
        </w:rPr>
        <w:t>7</w:t>
      </w:r>
      <w:r>
        <w:rPr>
          <w:rFonts w:ascii="Times New Roman" w:hAnsi="Times New Roman" w:cs="Times New Roman"/>
          <w:sz w:val="22"/>
          <w:szCs w:val="22"/>
        </w:rPr>
        <w:t xml:space="preserve"> Nel Noddings extended that insight into a sustained philosophy of caring as the proper center of moral education.</w:t>
      </w:r>
      <w:r>
        <w:rPr>
          <w:rFonts w:ascii="Times New Roman" w:hAnsi="Times New Roman" w:cs="Times New Roman"/>
          <w:sz w:val="22"/>
          <w:szCs w:val="22"/>
          <w:vertAlign w:val="superscript"/>
        </w:rPr>
        <w:t>8</w:t>
      </w:r>
      <w:r>
        <w:rPr>
          <w:rFonts w:ascii="Times New Roman" w:hAnsi="Times New Roman" w:cs="Times New Roman"/>
          <w:sz w:val="22"/>
          <w:szCs w:val="22"/>
        </w:rPr>
        <w:t xml:space="preserve"> Samuel Scheffler pressed, from within analytic philosophy, the case that special obligations to particular people are not peripheral complications to be accommodated after we have worked out the general theory: they are among the most basic features of the moral life.</w:t>
      </w:r>
      <w:r>
        <w:rPr>
          <w:rFonts w:ascii="Times New Roman" w:hAnsi="Times New Roman" w:cs="Times New Roman"/>
          <w:sz w:val="22"/>
          <w:szCs w:val="22"/>
          <w:vertAlign w:val="superscript"/>
        </w:rPr>
        <w:t>9</w:t>
      </w:r>
    </w:p>
    <w:p w14:paraId="44B0078C" w14:textId="77777777" w:rsidR="00551905" w:rsidRPr="00850CC8" w:rsidRDefault="00000000"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Alasdair MacIntyre’s landmark argument that modern moral philosophy had lost the narrative and communal context within which virtues make sense prompted a wide-ranging reconsideration of what ethical reasoning actually requires.</w:t>
      </w:r>
      <w:r>
        <w:rPr>
          <w:rFonts w:ascii="Times New Roman" w:hAnsi="Times New Roman" w:cs="Times New Roman"/>
          <w:sz w:val="22"/>
          <w:szCs w:val="22"/>
          <w:vertAlign w:val="superscript"/>
        </w:rPr>
        <w:t>10</w:t>
      </w:r>
      <w:r>
        <w:rPr>
          <w:rFonts w:ascii="Times New Roman" w:hAnsi="Times New Roman" w:cs="Times New Roman"/>
          <w:sz w:val="22"/>
          <w:szCs w:val="22"/>
        </w:rPr>
        <w:t xml:space="preserve"> Stanley Hauerwas took that argument in an explicitly theological direction, insisting that Christian ethics cannot be understood apart from the community, the practices, and the story told and lived together within which Christian character is formed.</w:t>
      </w:r>
      <w:r>
        <w:rPr>
          <w:rFonts w:ascii="Times New Roman" w:hAnsi="Times New Roman" w:cs="Times New Roman"/>
          <w:sz w:val="22"/>
          <w:szCs w:val="22"/>
          <w:vertAlign w:val="superscript"/>
        </w:rPr>
        <w:t>11</w:t>
      </w:r>
      <w:r>
        <w:rPr>
          <w:rFonts w:ascii="Times New Roman" w:hAnsi="Times New Roman" w:cs="Times New Roman"/>
          <w:sz w:val="22"/>
          <w:szCs w:val="22"/>
        </w:rPr>
        <w:t xml:space="preserve"> Nicholas Wolterstorff demonstrated, with some precision, that rights grounded in the worth of persons and love directed toward persons are not in competition but are two ways of taking human dignity seriously, and that a theology of justice cannot afford to treat either as optional.</w:t>
      </w:r>
      <w:r>
        <w:rPr>
          <w:rFonts w:ascii="Times New Roman" w:hAnsi="Times New Roman" w:cs="Times New Roman"/>
          <w:sz w:val="22"/>
          <w:szCs w:val="22"/>
          <w:vertAlign w:val="superscript"/>
        </w:rPr>
        <w:t>12</w:t>
      </w:r>
    </w:p>
    <w:p w14:paraId="301E7042" w14:textId="77777777" w:rsidR="00551905" w:rsidRPr="00850CC8" w:rsidRDefault="00000000"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lastRenderedPageBreak/>
        <w:t>A parallel and in some ways deeper conversation has been underway within the personalist tradition. Karol Wojtyła argued that the only adequate response to a person is love, what he called the personalist norm, grounding ethics not in abstract principle but in the irreducible dignity of the person encountered face to face.</w:t>
      </w:r>
      <w:r>
        <w:rPr>
          <w:rFonts w:ascii="Times New Roman" w:hAnsi="Times New Roman" w:cs="Times New Roman"/>
          <w:sz w:val="22"/>
          <w:szCs w:val="22"/>
          <w:vertAlign w:val="superscript"/>
        </w:rPr>
        <w:t>13</w:t>
      </w:r>
      <w:r>
        <w:rPr>
          <w:rFonts w:ascii="Times New Roman" w:hAnsi="Times New Roman" w:cs="Times New Roman"/>
          <w:sz w:val="22"/>
          <w:szCs w:val="22"/>
        </w:rPr>
        <w:t xml:space="preserve"> His account of the “law of the gift,” the observation that a person most fully becomes herself precisely in the act of self-giving to another, captures something the present argument wants to affirm: that love is not the sacrifice of personhood but its completion. What the personalist norm also implies, though Wojtyła does not always make this explicit, is that love, truly understood, is always calibrated to the particular person before you. It cannot be derived from a principle applied at a distance. It requires proximity, attention, and the willingness to let the specific situation of this person, here and now, determine what love actually asks. Martin Buber’s distinction between the I-Thou relation and the I-It stance illuminates the same territory from a different direction. The I-It stance is precisely the abstract stance, the one that reduces the other to a case, an instance, a member of a category. The I-Thou encounter refuses that reduction. It meets the other in her irreducible particularity, and it is only in that meeting that properly moral response becomes possible.</w:t>
      </w:r>
      <w:r>
        <w:rPr>
          <w:rFonts w:ascii="Times New Roman" w:hAnsi="Times New Roman" w:cs="Times New Roman"/>
          <w:sz w:val="22"/>
          <w:szCs w:val="22"/>
          <w:vertAlign w:val="superscript"/>
        </w:rPr>
        <w:t>14</w:t>
      </w:r>
    </w:p>
    <w:p w14:paraId="1AC56B1F" w14:textId="77777777" w:rsidR="00551905" w:rsidRPr="00850CC8" w:rsidRDefault="00000000"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What Wojtyła and Buber name from within the philosophical tradition, Rufus Burrow has shown to have been lived and practiced within the African American church long before it was theorized in the academy. Burrow’s careful reconstruction of the personalist commitments underlying Martin Luther King Jr.’s theology and ethics demonstrates that theistic personalism is not merely an academic position. It is a way of inhabiting the world, grounded in the conviction that a personal God guarantees the infinite worth of every person and that any social arrangement which denies that worth is out of harmony with the moral order of the universe.</w:t>
      </w:r>
      <w:r>
        <w:rPr>
          <w:rFonts w:ascii="Times New Roman" w:hAnsi="Times New Roman" w:cs="Times New Roman"/>
          <w:sz w:val="22"/>
          <w:szCs w:val="22"/>
          <w:vertAlign w:val="superscript"/>
        </w:rPr>
        <w:t>15</w:t>
      </w:r>
      <w:r>
        <w:rPr>
          <w:rFonts w:ascii="Times New Roman" w:hAnsi="Times New Roman" w:cs="Times New Roman"/>
          <w:sz w:val="22"/>
          <w:szCs w:val="22"/>
        </w:rPr>
        <w:t xml:space="preserve"> King’s ethic of nonviolence was not a strategic calculation. It was a situated response to particular persons in a particular history, animated by the prior love of a God who takes persons seriously enough to enter into their suffering. His Beloved Community is not a utopian projection. It is the social form that the prior love of God takes when it is received and lived outward into the concrete conditions of a broken world.</w:t>
      </w:r>
    </w:p>
    <w:p w14:paraId="22AB4141" w14:textId="77777777" w:rsidR="00551905" w:rsidRPr="00850CC8" w:rsidRDefault="00000000"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What these thinkers share, despite the considerable differences among them, is a sense that the basic unit of moral analysis is not the isolated individual making decisions in the abstract, but the person already embedded in relationships, shaped by communities, and responsible to others in ways that precede any choice about whether to enter into responsibility. They do not all reach the same conclusions, and this book does not claim to simply synthesize their work. What it does claim is that these lines of inquiry, taken together, are tracking something real, and that the something they are tracking has a theological address that not all of them have been willing to supply.</w:t>
      </w:r>
    </w:p>
    <w:p w14:paraId="1EF32EE9" w14:textId="77777777" w:rsidR="00551905" w:rsidRPr="00850CC8" w:rsidRDefault="00000000"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The theological address, I want to argue, is the Trinity. The relational character of moral living is not a sociological observation or a pragmatic accommodation to human complexity. It is a reflection of the deepest structure of reality: a God whose inner life is constituted by relation, and creatures made to bear that God’s image in the world.</w:t>
      </w:r>
      <w:r>
        <w:rPr>
          <w:rFonts w:ascii="Times New Roman" w:hAnsi="Times New Roman" w:cs="Times New Roman"/>
          <w:sz w:val="22"/>
          <w:szCs w:val="22"/>
          <w:vertAlign w:val="superscript"/>
        </w:rPr>
        <w:t>16</w:t>
      </w:r>
    </w:p>
    <w:p w14:paraId="725B6161" w14:textId="77777777" w:rsidR="00551905" w:rsidRPr="00850CC8" w:rsidRDefault="00000000" w:rsidP="00850CC8">
      <w:pPr>
        <w:pStyle w:val="Heading2"/>
        <w:spacing w:line="276" w:lineRule="auto"/>
        <w:rPr>
          <w:rFonts w:ascii="Times New Roman" w:hAnsi="Times New Roman" w:cs="Times New Roman"/>
          <w:sz w:val="22"/>
          <w:szCs w:val="22"/>
        </w:rPr>
      </w:pPr>
      <w:bookmarkStart w:id="2" w:name="_Toc228335808"/>
      <w:r>
        <w:rPr>
          <w:rFonts w:ascii="Times New Roman" w:hAnsi="Times New Roman" w:cs="Times New Roman"/>
          <w:sz w:val="22"/>
          <w:szCs w:val="22"/>
        </w:rPr>
        <w:t>How This Book Is Organized</w:t>
      </w:r>
      <w:bookmarkEnd w:id="2"/>
    </w:p>
    <w:p w14:paraId="36B3C40B" w14:textId="77777777" w:rsidR="00551905" w:rsidRPr="00850CC8" w:rsidRDefault="00000000"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The argument unfolds in three movements, though the movements are not entirely separable from one another, because the ideas they develop are not divisible in reality.</w:t>
      </w:r>
    </w:p>
    <w:p w14:paraId="2974B2F0" w14:textId="77777777" w:rsidR="00551905" w:rsidRPr="00850CC8" w:rsidRDefault="00000000"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lastRenderedPageBreak/>
        <w:t xml:space="preserve">The first movement (chapters one through three) traces the relational character of ethics to its source. Chapter one examines why the most influential frameworks of Western moral philosophy, for all their real insight, have struggled to account for the full texture of our moral experience: the special obligations that particular relationships generate, the irreducibility of the self as a moral object alongside the other, and the way that context and proximity shape what love actually requires. It also addresses a more radical challenge: the claim, advanced by evolutionary naturalism, that moral experience has no objective ground at all but is simply the residue of selection pressures operating on social animals. The chapter argues that this challenge, though it cannot be met on its own terms, dissolves when the personal God, the source of both persons and moral reality, is taken seriously. Chapter two moves to the ground of ethics in the triune life of God, arguing that perichoresis, the mutual indwelling of Father, Son, and Holy Spirit in eternal self-giving love, is not a speculative decoration on top of a simpler theology but the living source from which the shape of the moral life flows. Chapter three develops the anthropological side of that claim through the theology of the </w:t>
      </w:r>
      <w:r>
        <w:rPr>
          <w:rFonts w:ascii="Times New Roman" w:hAnsi="Times New Roman" w:cs="Times New Roman"/>
          <w:i/>
          <w:iCs/>
          <w:sz w:val="22"/>
          <w:szCs w:val="22"/>
        </w:rPr>
        <w:t>imago Dei</w:t>
      </w:r>
      <w:r>
        <w:rPr>
          <w:rFonts w:ascii="Times New Roman" w:hAnsi="Times New Roman" w:cs="Times New Roman"/>
          <w:sz w:val="22"/>
          <w:szCs w:val="22"/>
        </w:rPr>
        <w:t>, attending to what Genesis 1 says about the correspondence between divine and human social complexity and what that correspondence means for how we understand our obligations to one another.</w:t>
      </w:r>
    </w:p>
    <w:p w14:paraId="7D016BF6" w14:textId="77777777" w:rsidR="00551905" w:rsidRPr="00850CC8" w:rsidRDefault="00000000"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The second movement (chapters four through seven) works out what this relational foundation means in practice. Chapter four takes up the four qualities that characterize morality as this framework understands it: that ethics is relational, reflective, situational, and personal. These are not four independent claims. They are four dimensions of a single corrective to the tendency of abstract ethical theory to treat the moral agent as placeless, timeless, and unattached. The situational quality in particular requires attention: to say that ethics is situational is not to say that it is relative, that anything goes depending on the circumstances. It is to say that the abstract principle must always be brought to bear on the concrete person, and that this act of translation, from principle to person, is itself a moral act requiring wisdom, attention, and love.</w:t>
      </w:r>
      <w:r>
        <w:rPr>
          <w:rFonts w:ascii="Times New Roman" w:hAnsi="Times New Roman" w:cs="Times New Roman"/>
          <w:sz w:val="22"/>
          <w:szCs w:val="22"/>
          <w:vertAlign w:val="superscript"/>
        </w:rPr>
        <w:t>17</w:t>
      </w:r>
      <w:r>
        <w:rPr>
          <w:rFonts w:ascii="Times New Roman" w:hAnsi="Times New Roman" w:cs="Times New Roman"/>
          <w:sz w:val="22"/>
          <w:szCs w:val="22"/>
        </w:rPr>
        <w:t xml:space="preserve"> Chapter five examines the two great commandments and the Golden Rule, arguing that the Golden Rule encodes in a single sentence the reflexive structure of the Trinitarian life before it is a prescription for human conduct. Chapters six and seven turn to biblical narrative, reading the intercession of Abraham for Sodom, the deliverance of Rahab, and the long patience of God toward the Canaanite nations as case studies in how relational proximity and divine patience operate in history. These narratives are not offered as proof texts. They are offered as windows into a consistent moral logic that is already at work in the biblical story, one in which the nearness of the relationship consistently shapes the character of the obligation.</w:t>
      </w:r>
    </w:p>
    <w:p w14:paraId="3A97C736" w14:textId="77777777" w:rsidR="00551905" w:rsidRPr="00850CC8" w:rsidRDefault="00000000"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The third movement (chapters eight through thirteen) sets the whole argument within its largest frames. It opens with three chapters that engage the hardest cases in the biblical witness: the texts that cause thoughtful readers to question whether the relational framework can bear the weight of the full scriptural canon.</w:t>
      </w:r>
    </w:p>
    <w:p w14:paraId="6BC22C6B" w14:textId="77777777" w:rsidR="00551905" w:rsidRPr="00850CC8" w:rsidRDefault="00000000"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 xml:space="preserve">Chapter eight examines the conquest narratives and the </w:t>
      </w:r>
      <w:r>
        <w:rPr>
          <w:rFonts w:ascii="Times New Roman" w:hAnsi="Times New Roman" w:cs="Times New Roman"/>
          <w:i/>
          <w:iCs/>
          <w:sz w:val="22"/>
          <w:szCs w:val="22"/>
        </w:rPr>
        <w:t>herem</w:t>
      </w:r>
      <w:r>
        <w:rPr>
          <w:rFonts w:ascii="Times New Roman" w:hAnsi="Times New Roman" w:cs="Times New Roman"/>
          <w:sz w:val="22"/>
          <w:szCs w:val="22"/>
        </w:rPr>
        <w:t xml:space="preserve"> warfare commands, asking whether a God whose inner life is constituted by perichoretic self-giving can be the same God who directed the destruction of Canaanite populations. It argues that when the relational framework developed in the preceding chapters is brought to bear on these texts, their logic becomes intelligible without being made comfortable. Chapter nine takes up the Flood, the most comprehensive account of divine judgment in Scripture, reading it within its ancient Near Eastern literary context, through the lens of the uncreation-recreation theology that structures Genesis 6–9, and ultimately through N. T. Wright’s account of Christ’s victory as God’s definitive answer to the problem of comprehensive evil. Chapter ten addresses the </w:t>
        <w:lastRenderedPageBreak/>
        <w:t>imprecatory psalms, the prayers of God’s own people for the violent destruction of enemies, exploring what covenant relationship, honest prayer, ancient Near Eastern treaty language, and the New Testament’s transformation of the justice theme together mean for how these texts are to be prayed and lived.</w:t>
      </w:r>
    </w:p>
    <w:p w14:paraId="132F01DB" w14:textId="77777777" w:rsidR="00551905" w:rsidRPr="00850CC8" w:rsidRDefault="00000000"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These three chapters do not resolve every difficulty the hard texts present. They are offered as demonstrations that the relational framework is not a theory that requires the hard texts to be quietly set aside. It is a framework that engages them directly and finds in them a consistent, if demanding, theological logic: a God whose patience is real, whose grief over judgment is real, whose mercy remains open until the last possible moment, and whose ultimate answer to human evil is not external destruction but the cross.</w:t>
      </w:r>
    </w:p>
    <w:p w14:paraId="0D66E123" w14:textId="67B1B3EC" w:rsidR="00551905" w:rsidRPr="00850CC8" w:rsidRDefault="00000000"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Chapter twelve examines the question of justice, arguing that what are often presented as competing theories, retributive justice on one side and restorative or reformational justice on the other, are better understood as two expressions of the same reflexive love operating in different directions within a broken relational order. Chapter thirteen takes up the cosmological context for all of this: the conviction that the world was created as a theatre of divine self-revelation, and that the moral life is, at its deepest level, a participation in the demonstration of who God is and how God loves.</w:t>
      </w:r>
    </w:p>
    <w:p w14:paraId="3ED7C67E" w14:textId="08AB59A7" w:rsidR="00551905" w:rsidRPr="00850CC8" w:rsidRDefault="00000000"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 xml:space="preserve">The theatre of divine self-revelation, which chapter thirteen develops explicitly, is not a theme that waits until the final chapter to become operative. It is the frame within which the entire argument unfolds. This book is the companion to </w:t>
      </w:r>
      <w:r>
        <w:rPr>
          <w:rFonts w:ascii="Times New Roman" w:hAnsi="Times New Roman" w:cs="Times New Roman"/>
          <w:i/>
          <w:iCs/>
          <w:sz w:val="22"/>
          <w:szCs w:val="22"/>
        </w:rPr>
        <w:t>The Matter of God’s Character</w:t>
      </w:r>
      <w:r>
        <w:rPr>
          <w:rFonts w:ascii="Times New Roman" w:hAnsi="Times New Roman" w:cs="Times New Roman"/>
          <w:sz w:val="22"/>
          <w:szCs w:val="22"/>
        </w:rPr>
        <w:t>, which argued that the world was brought into being as a space in which the character of the triune God could be displayed, and that the Incarnation was not a contingency plan but the centerpiece of that display from the beginning. The present book carries that argument into the territory of ethics: if the world is a theatre of divine self-revelation, then the moral life of image-bearing creatures is not merely an obligation to be discharged or a flourishing to be pursued. It is a participation in the demonstration. When the creatures God made to bear his image live in accordance with the relational vocation for which they were made, they are contributing, in their creaturely and always partial way, to the display of who God is and how God loves. The three movements of this book trace that claim from the ground up: establishing the relational source in the triune life of God (chapters one through three), working out its practical shape and testing it against the hardest biblical cases (chapters four through ten), and setting the whole within the cosmological frame of the theatre in which the display takes place (chapters eleven through thirteen). Readers of the companion volume will recognize the frame. Readers encountering it here for the first time will find it developed progressively as the argument builds.</w:t>
      </w:r>
    </w:p>
    <w:p w14:paraId="76E6B440" w14:textId="77777777" w:rsidR="00551905" w:rsidRPr="00850CC8" w:rsidRDefault="00000000" w:rsidP="00850CC8">
      <w:pPr>
        <w:pStyle w:val="Heading2"/>
        <w:spacing w:line="276" w:lineRule="auto"/>
        <w:rPr>
          <w:rFonts w:ascii="Times New Roman" w:hAnsi="Times New Roman" w:cs="Times New Roman"/>
          <w:sz w:val="22"/>
          <w:szCs w:val="22"/>
        </w:rPr>
      </w:pPr>
      <w:bookmarkStart w:id="3" w:name="_Toc228335809"/>
      <w:r>
        <w:rPr>
          <w:rFonts w:ascii="Times New Roman" w:hAnsi="Times New Roman" w:cs="Times New Roman"/>
          <w:sz w:val="22"/>
          <w:szCs w:val="22"/>
        </w:rPr>
        <w:t>A Note on Method and Tone</w:t>
      </w:r>
      <w:bookmarkEnd w:id="3"/>
    </w:p>
    <w:p w14:paraId="0B9DEB59" w14:textId="77777777" w:rsidR="00551905" w:rsidRPr="00850CC8" w:rsidRDefault="00000000"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Two things about how this book proceeds deserve a word before we begin.</w:t>
      </w:r>
    </w:p>
    <w:p w14:paraId="445A5E9E" w14:textId="77777777" w:rsidR="00551905" w:rsidRPr="00850CC8" w:rsidRDefault="00000000"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 xml:space="preserve">The first concerns the relationship between Scripture and theological argument. This book treats the Bible as a reliable witness to the character of God and the structure of the moral life, and it reads particular texts with some care. But it is not a work of systematic exegesis, and readers trained in biblical scholarship will find that the exegetical discussions are meant to illuminate rather than to settle contested technical questions. Where scholarly debates bear on the argument, they are noted; where they do not, </w:t>
        <w:lastRenderedPageBreak/>
        <w:t>they are set aside. The goal is not to win arguments about texts but to let the texts do what they are meant to do, which is to illuminate the shape of a life.</w:t>
      </w:r>
    </w:p>
    <w:p w14:paraId="59ECB075" w14:textId="77777777" w:rsidR="00551905" w:rsidRPr="00850CC8" w:rsidRDefault="00000000"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The second concerns tone. Ethical argument, perhaps more than any other kind, is prone to a certain pugnacity: the pleasure of demonstrating that competing views are confused, incomplete, or internally incoherent. There is a place for that kind of argument, and this book does not pretend to engage with alternative viewpoints. But the primary posture here is one of building rather than dismantling. The thinkers cited in these pages, including those with whom I disagree, have, in most cases, perceived something true. The question this book asks of them is not whether they are right or wrong, but where their best insights ultimately rest. The answer I am proposing, with appropriate tentativeness, is that they are grounded in the character of the triune God, whether or not their authors would have put it that way.</w:t>
      </w:r>
    </w:p>
    <w:p w14:paraId="683A6945" w14:textId="77777777" w:rsidR="00551905" w:rsidRPr="00850CC8" w:rsidRDefault="00000000"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Readers who are looking for a finished system will need to look elsewhere. What this book offers is a way of thinking about the moral life that I have found illuminating and that I hope will be worth the reader’s time to consider. If it opens questions rather than closing them, so much the better. The questions the moral life raises are among the most serious ones we face, and they deserve more patience than confident answers usually allow.</w:t>
      </w:r>
    </w:p>
    <w:p w14:paraId="23E56412" w14:textId="77777777" w:rsidR="00551905" w:rsidRPr="00850CC8" w:rsidRDefault="00000000"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We begin where all good thinking about ethics eventually has to begin: not with a system, but with a question about what is most real.</w:t>
      </w:r>
    </w:p>
    <w:p w14:paraId="323CBE83" w14:textId="77777777" w:rsidR="00551905" w:rsidRPr="00850CC8" w:rsidRDefault="00000000" w:rsidP="00850CC8">
      <w:pPr>
        <w:spacing w:before="480" w:after="200" w:line="276" w:lineRule="auto"/>
        <w:rPr>
          <w:rFonts w:ascii="Times New Roman" w:hAnsi="Times New Roman" w:cs="Times New Roman"/>
          <w:sz w:val="22"/>
          <w:szCs w:val="22"/>
        </w:rPr>
      </w:pPr>
      <w:r>
        <w:rPr>
          <w:rFonts w:ascii="Times New Roman" w:hAnsi="Times New Roman" w:cs="Times New Roman"/>
          <w:b/>
          <w:bCs/>
          <w:sz w:val="22"/>
          <w:szCs w:val="22"/>
        </w:rPr>
        <w:t>Notes</w:t>
      </w:r>
    </w:p>
    <w:p w14:paraId="5F65755D" w14:textId="77777777" w:rsidR="00551905" w:rsidRPr="00850CC8" w:rsidRDefault="00000000" w:rsidP="00850CC8">
      <w:pPr>
        <w:spacing w:after="120" w:line="276" w:lineRule="auto"/>
        <w:ind w:left="360" w:hanging="360"/>
        <w:rPr>
          <w:rFonts w:ascii="Times New Roman" w:hAnsi="Times New Roman" w:cs="Times New Roman"/>
          <w:sz w:val="22"/>
          <w:szCs w:val="22"/>
        </w:rPr>
      </w:pPr>
      <w:r>
        <w:rPr>
          <w:rFonts w:ascii="Times New Roman" w:hAnsi="Times New Roman" w:cs="Times New Roman"/>
          <w:b/>
          <w:bCs/>
          <w:sz w:val="22"/>
          <w:szCs w:val="22"/>
        </w:rPr>
        <w:t>1. </w:t>
      </w:r>
      <w:r>
        <w:rPr>
          <w:rFonts w:ascii="Times New Roman" w:hAnsi="Times New Roman" w:cs="Times New Roman"/>
          <w:sz w:val="22"/>
          <w:szCs w:val="22"/>
        </w:rPr>
        <w:t>The claim that moral obligation is shaped by relational proximity runs against the grain of much modern ethical theory. Kant’s reformulation of the categorical imperative in terms of respect for persons explicitly brackets the particular relationships in which persons stand: I am required to treat a stranger with exactly the same respect as my spouse or my child. Rawls’s veil of ignorance achieves a similar abstraction by design. The argument here is not that these frameworks perceive nothing real, but that by abstracting from proximity and particularity, they systematically underweight one of the most morally significant features of the situations in which we actually find ourselves. The corrective is not relativism, but a more adequate account of what love requires when it takes persons seriously in their concreteness. The most radical form of the challenge to any objective moral account comes not from these frameworks but from evolutionary naturalism, which argues that moral intuitions are the residue of selection pressures rather than perceptions of moral reality. This challenge is addressed in chapter one.</w:t>
      </w:r>
    </w:p>
    <w:p w14:paraId="52545F74" w14:textId="77777777" w:rsidR="00551905" w:rsidRPr="00850CC8" w:rsidRDefault="00000000" w:rsidP="00850CC8">
      <w:pPr>
        <w:spacing w:after="120" w:line="276" w:lineRule="auto"/>
        <w:ind w:left="360" w:hanging="360"/>
        <w:rPr>
          <w:rFonts w:ascii="Times New Roman" w:hAnsi="Times New Roman" w:cs="Times New Roman"/>
          <w:sz w:val="22"/>
          <w:szCs w:val="22"/>
        </w:rPr>
      </w:pPr>
      <w:r>
        <w:rPr>
          <w:rFonts w:ascii="Times New Roman" w:hAnsi="Times New Roman" w:cs="Times New Roman"/>
          <w:b/>
          <w:bCs/>
          <w:sz w:val="22"/>
          <w:szCs w:val="22"/>
        </w:rPr>
        <w:t>2. </w:t>
      </w:r>
      <w:r>
        <w:rPr>
          <w:rFonts w:ascii="Times New Roman" w:hAnsi="Times New Roman" w:cs="Times New Roman"/>
          <w:sz w:val="22"/>
          <w:szCs w:val="22"/>
        </w:rPr>
        <w:t xml:space="preserve">The language of “ways of seeing” as a description of theological method owes something to Iris Murdoch, whose insistence that moral vision is prior to moral decision informs the approach taken here. See </w:t>
      </w:r>
      <w:r>
        <w:rPr>
          <w:rFonts w:ascii="Times New Roman" w:hAnsi="Times New Roman" w:cs="Times New Roman"/>
          <w:i/>
          <w:iCs/>
          <w:sz w:val="22"/>
          <w:szCs w:val="22"/>
        </w:rPr>
        <w:t>The Sovereignty of Good</w:t>
      </w:r>
      <w:r>
        <w:rPr>
          <w:rFonts w:ascii="Times New Roman" w:hAnsi="Times New Roman" w:cs="Times New Roman"/>
          <w:sz w:val="22"/>
          <w:szCs w:val="22"/>
        </w:rPr>
        <w:t xml:space="preserve"> (London: Routledge, 1970), especially the essay “The Idea of Perfection.”</w:t>
      </w:r>
    </w:p>
    <w:p w14:paraId="09DEC9D9" w14:textId="77777777" w:rsidR="00551905" w:rsidRPr="00850CC8" w:rsidRDefault="00000000" w:rsidP="00850CC8">
      <w:pPr>
        <w:spacing w:after="120" w:line="276" w:lineRule="auto"/>
        <w:ind w:left="360" w:hanging="360"/>
        <w:rPr>
          <w:rFonts w:ascii="Times New Roman" w:hAnsi="Times New Roman" w:cs="Times New Roman"/>
          <w:sz w:val="22"/>
          <w:szCs w:val="22"/>
        </w:rPr>
      </w:pPr>
      <w:r>
        <w:rPr>
          <w:rFonts w:ascii="Times New Roman" w:hAnsi="Times New Roman" w:cs="Times New Roman"/>
          <w:b/>
          <w:bCs/>
          <w:sz w:val="22"/>
          <w:szCs w:val="22"/>
        </w:rPr>
        <w:t>3. </w:t>
      </w:r>
      <w:r>
        <w:rPr>
          <w:rFonts w:ascii="Times New Roman" w:hAnsi="Times New Roman" w:cs="Times New Roman"/>
          <w:sz w:val="22"/>
          <w:szCs w:val="22"/>
        </w:rPr>
        <w:t>1 John 4:19 (NIV). The Greek construction, with οἷτι carrying causal force, places the emphasis on the personal priority of God’s love as the ground of ours rather than on any automatic transmission of love from God to us. The love that constitutes our moral life is a response to a prior personal act, not the downstream effect of a divine property. This covenantal and responsive logic runs through the argument of chapter two.</w:t>
      </w:r>
    </w:p>
    <w:p w14:paraId="42F2421A" w14:textId="5E140CC3" w:rsidR="00551905" w:rsidRPr="00850CC8" w:rsidRDefault="00000000" w:rsidP="00850CC8">
      <w:pPr>
        <w:spacing w:after="120" w:line="276" w:lineRule="auto"/>
        <w:ind w:left="360" w:hanging="360"/>
        <w:rPr>
          <w:rFonts w:ascii="Times New Roman" w:hAnsi="Times New Roman" w:cs="Times New Roman"/>
          <w:sz w:val="22"/>
          <w:szCs w:val="22"/>
        </w:rPr>
      </w:pPr>
      <w:r>
        <w:rPr>
          <w:rFonts w:ascii="Times New Roman" w:hAnsi="Times New Roman" w:cs="Times New Roman"/>
          <w:b/>
          <w:bCs/>
          <w:sz w:val="22"/>
          <w:szCs w:val="22"/>
        </w:rPr>
        <w:lastRenderedPageBreak/>
        <w:t>4. </w:t>
      </w:r>
      <w:r>
        <w:rPr>
          <w:rFonts w:ascii="Times New Roman" w:hAnsi="Times New Roman" w:cs="Times New Roman"/>
          <w:sz w:val="22"/>
          <w:szCs w:val="22"/>
        </w:rPr>
        <w:t>The theological claim being made here is that divine relational proximity is not an accommodation to creaturely limitation but an expression of the character of a God whose inner life is constituted by the mutual self-giving of three persons. The Father does not relate to the Son at a distance or by general principle. The relation is total, immediate, and constitutive of who each person is. Creation, covenant, and Incarnation are the outward movements of that same logic into history. For the Incarnation as the supreme act of divine proximity rather than a contingency plan, see the discussion in chapter thirteen.</w:t>
      </w:r>
    </w:p>
    <w:p w14:paraId="62DEC918" w14:textId="77777777" w:rsidR="00551905" w:rsidRPr="00850CC8" w:rsidRDefault="00000000" w:rsidP="00850CC8">
      <w:pPr>
        <w:spacing w:after="120" w:line="276" w:lineRule="auto"/>
        <w:ind w:left="360" w:hanging="360"/>
        <w:rPr>
          <w:rFonts w:ascii="Times New Roman" w:hAnsi="Times New Roman" w:cs="Times New Roman"/>
          <w:sz w:val="22"/>
          <w:szCs w:val="22"/>
        </w:rPr>
      </w:pPr>
      <w:r>
        <w:rPr>
          <w:rFonts w:ascii="Times New Roman" w:hAnsi="Times New Roman" w:cs="Times New Roman"/>
          <w:b/>
          <w:bCs/>
          <w:sz w:val="22"/>
          <w:szCs w:val="22"/>
        </w:rPr>
        <w:t>5. </w:t>
      </w:r>
      <w:r>
        <w:rPr>
          <w:rFonts w:ascii="Times New Roman" w:hAnsi="Times New Roman" w:cs="Times New Roman"/>
          <w:sz w:val="22"/>
          <w:szCs w:val="22"/>
        </w:rPr>
        <w:t>The contrast being drawn here is between an emanationist account of moral love, in which love flows downward from its divine source as a kind of natural diffusion, and a personalist account, in which love is the response of one person to the prior self-giving of another. The distinction has consequences for how we understand moral agency. If love overflows necessarily from its source, the person through whom it flows is more conduit than agent. If love is the fitting response to a prior personal love, the one who loves does so as a full person, freely and responsibly answering what was first addressed to her. The argument of this book belongs to the second account.</w:t>
      </w:r>
    </w:p>
    <w:p w14:paraId="17D57BE8" w14:textId="77777777" w:rsidR="00551905" w:rsidRPr="00850CC8" w:rsidRDefault="00000000" w:rsidP="00850CC8">
      <w:pPr>
        <w:spacing w:after="120" w:line="276" w:lineRule="auto"/>
        <w:ind w:left="360" w:hanging="360"/>
        <w:rPr>
          <w:rFonts w:ascii="Times New Roman" w:hAnsi="Times New Roman" w:cs="Times New Roman"/>
          <w:sz w:val="22"/>
          <w:szCs w:val="22"/>
        </w:rPr>
      </w:pPr>
      <w:r>
        <w:rPr>
          <w:rFonts w:ascii="Times New Roman" w:hAnsi="Times New Roman" w:cs="Times New Roman"/>
          <w:b/>
          <w:bCs/>
          <w:sz w:val="22"/>
          <w:szCs w:val="22"/>
        </w:rPr>
        <w:t>6. </w:t>
      </w:r>
      <w:r>
        <w:rPr>
          <w:rFonts w:ascii="Times New Roman" w:hAnsi="Times New Roman" w:cs="Times New Roman"/>
          <w:sz w:val="22"/>
          <w:szCs w:val="22"/>
        </w:rPr>
        <w:t xml:space="preserve">The personalist tradition is broad and internally diverse, and not all of its forms are compatible with the social Trinitarian commitments developed in chapters two and three. In particular, the Boston personalism associated with Edgar Sheffield Brightman, with its doctrine of a God limited by an internal “Given,” stands at some distance from the classical Trinitarian theology this book presupposes. The engagement with personalism here is selective: what is drawn upon is the tradition’s insistence on the irreducibility of the person and on the relational constitution of personhood, rather than its metaphysical idealism or its account of divine finitude. For a comprehensive introduction to the tradition, see Rufus Burrow Jr., </w:t>
      </w:r>
      <w:r>
        <w:rPr>
          <w:rFonts w:ascii="Times New Roman" w:hAnsi="Times New Roman" w:cs="Times New Roman"/>
          <w:i/>
          <w:iCs/>
          <w:sz w:val="22"/>
          <w:szCs w:val="22"/>
        </w:rPr>
        <w:t>Personalism: A Critical Introduction</w:t>
      </w:r>
      <w:r>
        <w:rPr>
          <w:rFonts w:ascii="Times New Roman" w:hAnsi="Times New Roman" w:cs="Times New Roman"/>
          <w:sz w:val="22"/>
          <w:szCs w:val="22"/>
        </w:rPr>
        <w:t xml:space="preserve"> (St. Louis: Chalice Press, 1999).</w:t>
      </w:r>
    </w:p>
    <w:p w14:paraId="73FF331E" w14:textId="77777777" w:rsidR="00551905" w:rsidRPr="00850CC8" w:rsidRDefault="00000000" w:rsidP="00850CC8">
      <w:pPr>
        <w:spacing w:after="120" w:line="276" w:lineRule="auto"/>
        <w:ind w:left="360" w:hanging="360"/>
        <w:rPr>
          <w:rFonts w:ascii="Times New Roman" w:hAnsi="Times New Roman" w:cs="Times New Roman"/>
          <w:sz w:val="22"/>
          <w:szCs w:val="22"/>
        </w:rPr>
      </w:pPr>
      <w:r>
        <w:rPr>
          <w:rFonts w:ascii="Times New Roman" w:hAnsi="Times New Roman" w:cs="Times New Roman"/>
          <w:b/>
          <w:bCs/>
          <w:sz w:val="22"/>
          <w:szCs w:val="22"/>
        </w:rPr>
        <w:t>7. </w:t>
      </w:r>
      <w:r>
        <w:rPr>
          <w:rFonts w:ascii="Times New Roman" w:hAnsi="Times New Roman" w:cs="Times New Roman"/>
          <w:sz w:val="22"/>
          <w:szCs w:val="22"/>
        </w:rPr>
        <w:t xml:space="preserve">Carol Gilligan, </w:t>
      </w:r>
      <w:r>
        <w:rPr>
          <w:rFonts w:ascii="Times New Roman" w:hAnsi="Times New Roman" w:cs="Times New Roman"/>
          <w:i/>
          <w:iCs/>
          <w:sz w:val="22"/>
          <w:szCs w:val="22"/>
        </w:rPr>
        <w:t>In a Different Voice: Psychological Theory and Women’s Development</w:t>
      </w:r>
      <w:r>
        <w:rPr>
          <w:rFonts w:ascii="Times New Roman" w:hAnsi="Times New Roman" w:cs="Times New Roman"/>
          <w:sz w:val="22"/>
          <w:szCs w:val="22"/>
        </w:rPr>
        <w:t xml:space="preserve"> (Cambridge: Harvard University Press, 1982). The argument has been contested in various ways since its publication, but the core observation, that moral reasoning shaped by relationship and care had been systematically undervalued, remains relevant.</w:t>
      </w:r>
    </w:p>
    <w:p w14:paraId="2058FCD0" w14:textId="77777777" w:rsidR="00551905" w:rsidRPr="00850CC8" w:rsidRDefault="00000000" w:rsidP="00850CC8">
      <w:pPr>
        <w:spacing w:after="120" w:line="276" w:lineRule="auto"/>
        <w:ind w:left="360" w:hanging="360"/>
        <w:rPr>
          <w:rFonts w:ascii="Times New Roman" w:hAnsi="Times New Roman" w:cs="Times New Roman"/>
          <w:sz w:val="22"/>
          <w:szCs w:val="22"/>
        </w:rPr>
      </w:pPr>
      <w:r>
        <w:rPr>
          <w:rFonts w:ascii="Times New Roman" w:hAnsi="Times New Roman" w:cs="Times New Roman"/>
          <w:b/>
          <w:bCs/>
          <w:sz w:val="22"/>
          <w:szCs w:val="22"/>
        </w:rPr>
        <w:t>8. </w:t>
      </w:r>
      <w:r>
        <w:rPr>
          <w:rFonts w:ascii="Times New Roman" w:hAnsi="Times New Roman" w:cs="Times New Roman"/>
          <w:sz w:val="22"/>
          <w:szCs w:val="22"/>
        </w:rPr>
        <w:t xml:space="preserve">Nel Noddings, </w:t>
      </w:r>
      <w:r>
        <w:rPr>
          <w:rFonts w:ascii="Times New Roman" w:hAnsi="Times New Roman" w:cs="Times New Roman"/>
          <w:i/>
          <w:iCs/>
          <w:sz w:val="22"/>
          <w:szCs w:val="22"/>
        </w:rPr>
        <w:t>Caring: A Relational Approach to Ethics and Moral Education</w:t>
      </w:r>
      <w:r>
        <w:rPr>
          <w:rFonts w:ascii="Times New Roman" w:hAnsi="Times New Roman" w:cs="Times New Roman"/>
          <w:sz w:val="22"/>
          <w:szCs w:val="22"/>
        </w:rPr>
        <w:t>, 2nd ed. (Berkeley: University of California Press, 2013).</w:t>
      </w:r>
    </w:p>
    <w:p w14:paraId="10E7753B" w14:textId="77777777" w:rsidR="00551905" w:rsidRPr="00850CC8" w:rsidRDefault="00000000" w:rsidP="00850CC8">
      <w:pPr>
        <w:spacing w:after="120" w:line="276" w:lineRule="auto"/>
        <w:ind w:left="360" w:hanging="360"/>
        <w:rPr>
          <w:rFonts w:ascii="Times New Roman" w:hAnsi="Times New Roman" w:cs="Times New Roman"/>
          <w:sz w:val="22"/>
          <w:szCs w:val="22"/>
        </w:rPr>
      </w:pPr>
      <w:r>
        <w:rPr>
          <w:rFonts w:ascii="Times New Roman" w:hAnsi="Times New Roman" w:cs="Times New Roman"/>
          <w:b/>
          <w:bCs/>
          <w:sz w:val="22"/>
          <w:szCs w:val="22"/>
        </w:rPr>
        <w:t>9. </w:t>
      </w:r>
      <w:r>
        <w:rPr>
          <w:rFonts w:ascii="Times New Roman" w:hAnsi="Times New Roman" w:cs="Times New Roman"/>
          <w:sz w:val="22"/>
          <w:szCs w:val="22"/>
        </w:rPr>
        <w:t xml:space="preserve">Samuel Scheffler, “Special Obligations and Ordinary Morality,” </w:t>
      </w:r>
      <w:r>
        <w:rPr>
          <w:rFonts w:ascii="Times New Roman" w:hAnsi="Times New Roman" w:cs="Times New Roman"/>
          <w:i/>
          <w:iCs/>
          <w:sz w:val="22"/>
          <w:szCs w:val="22"/>
        </w:rPr>
        <w:t>Ethics</w:t>
      </w:r>
      <w:r>
        <w:rPr>
          <w:rFonts w:ascii="Times New Roman" w:hAnsi="Times New Roman" w:cs="Times New Roman"/>
          <w:sz w:val="22"/>
          <w:szCs w:val="22"/>
        </w:rPr>
        <w:t xml:space="preserve"> 109, no. 2 (1999): 209–28. See also his </w:t>
      </w:r>
      <w:r>
        <w:rPr>
          <w:rFonts w:ascii="Times New Roman" w:hAnsi="Times New Roman" w:cs="Times New Roman"/>
          <w:i/>
          <w:iCs/>
          <w:sz w:val="22"/>
          <w:szCs w:val="22"/>
        </w:rPr>
        <w:t>Boundaries and Allegiances: Problems of Justice and Responsibility in Liberal Thought</w:t>
      </w:r>
      <w:r>
        <w:rPr>
          <w:rFonts w:ascii="Times New Roman" w:hAnsi="Times New Roman" w:cs="Times New Roman"/>
          <w:sz w:val="22"/>
          <w:szCs w:val="22"/>
        </w:rPr>
        <w:t xml:space="preserve"> (Oxford: Oxford University Press, 2001).</w:t>
      </w:r>
    </w:p>
    <w:p w14:paraId="1A891EB8" w14:textId="77777777" w:rsidR="00551905" w:rsidRPr="00850CC8" w:rsidRDefault="00000000" w:rsidP="00850CC8">
      <w:pPr>
        <w:spacing w:after="120" w:line="276" w:lineRule="auto"/>
        <w:ind w:left="360" w:hanging="360"/>
        <w:rPr>
          <w:rFonts w:ascii="Times New Roman" w:hAnsi="Times New Roman" w:cs="Times New Roman"/>
          <w:sz w:val="22"/>
          <w:szCs w:val="22"/>
        </w:rPr>
      </w:pPr>
      <w:r>
        <w:rPr>
          <w:rFonts w:ascii="Times New Roman" w:hAnsi="Times New Roman" w:cs="Times New Roman"/>
          <w:b/>
          <w:bCs/>
          <w:sz w:val="22"/>
          <w:szCs w:val="22"/>
        </w:rPr>
        <w:t>10. </w:t>
      </w:r>
      <w:r>
        <w:rPr>
          <w:rFonts w:ascii="Times New Roman" w:hAnsi="Times New Roman" w:cs="Times New Roman"/>
          <w:sz w:val="22"/>
          <w:szCs w:val="22"/>
        </w:rPr>
        <w:t xml:space="preserve">Alasdair MacIntyre, </w:t>
      </w:r>
      <w:r>
        <w:rPr>
          <w:rFonts w:ascii="Times New Roman" w:hAnsi="Times New Roman" w:cs="Times New Roman"/>
          <w:i/>
          <w:iCs/>
          <w:sz w:val="22"/>
          <w:szCs w:val="22"/>
        </w:rPr>
        <w:t>After Virtue: A Study in Moral Theory</w:t>
      </w:r>
      <w:r>
        <w:rPr>
          <w:rFonts w:ascii="Times New Roman" w:hAnsi="Times New Roman" w:cs="Times New Roman"/>
          <w:sz w:val="22"/>
          <w:szCs w:val="22"/>
        </w:rPr>
        <w:t>, 3rd ed. (Notre Dame: University of Notre Dame Press, 2007). MacIntyre’s diagnosis of the “disquieting suggestion” with which the book opens, that modern moral discourse is a fragment of a conceptual scheme that has lost the context which gave it intelligibility, remains one of the most penetrating analyses of why ethical argument so often seems to go nowhere.</w:t>
      </w:r>
    </w:p>
    <w:p w14:paraId="196C3ADC" w14:textId="77777777" w:rsidR="00551905" w:rsidRPr="00850CC8" w:rsidRDefault="00000000" w:rsidP="00850CC8">
      <w:pPr>
        <w:spacing w:after="120" w:line="276" w:lineRule="auto"/>
        <w:ind w:left="360" w:hanging="360"/>
        <w:rPr>
          <w:rFonts w:ascii="Times New Roman" w:hAnsi="Times New Roman" w:cs="Times New Roman"/>
          <w:sz w:val="22"/>
          <w:szCs w:val="22"/>
        </w:rPr>
      </w:pPr>
      <w:r>
        <w:rPr>
          <w:rFonts w:ascii="Times New Roman" w:hAnsi="Times New Roman" w:cs="Times New Roman"/>
          <w:b/>
          <w:bCs/>
          <w:sz w:val="22"/>
          <w:szCs w:val="22"/>
        </w:rPr>
        <w:t>11. </w:t>
      </w:r>
      <w:r>
        <w:rPr>
          <w:rFonts w:ascii="Times New Roman" w:hAnsi="Times New Roman" w:cs="Times New Roman"/>
          <w:sz w:val="22"/>
          <w:szCs w:val="22"/>
        </w:rPr>
        <w:t xml:space="preserve">Stanley Hauerwas, </w:t>
      </w:r>
      <w:r>
        <w:rPr>
          <w:rFonts w:ascii="Times New Roman" w:hAnsi="Times New Roman" w:cs="Times New Roman"/>
          <w:i/>
          <w:iCs/>
          <w:sz w:val="22"/>
          <w:szCs w:val="22"/>
        </w:rPr>
        <w:t>A Community of Character: Toward a Constructive Christian Social Ethic</w:t>
      </w:r>
      <w:r>
        <w:rPr>
          <w:rFonts w:ascii="Times New Roman" w:hAnsi="Times New Roman" w:cs="Times New Roman"/>
          <w:sz w:val="22"/>
          <w:szCs w:val="22"/>
        </w:rPr>
        <w:t xml:space="preserve"> (Notre Dame: University of Notre Dame Press, 1981); </w:t>
      </w:r>
      <w:r>
        <w:rPr>
          <w:rFonts w:ascii="Times New Roman" w:hAnsi="Times New Roman" w:cs="Times New Roman"/>
          <w:i/>
          <w:iCs/>
          <w:sz w:val="22"/>
          <w:szCs w:val="22"/>
        </w:rPr>
        <w:t>The Peaceable Kingdom: A Primer in Christian Ethics</w:t>
      </w:r>
      <w:r>
        <w:rPr>
          <w:rFonts w:ascii="Times New Roman" w:hAnsi="Times New Roman" w:cs="Times New Roman"/>
          <w:sz w:val="22"/>
          <w:szCs w:val="22"/>
        </w:rPr>
        <w:t xml:space="preserve"> (Notre Dame: University of Notre Dame Press, 1983).</w:t>
      </w:r>
    </w:p>
    <w:p w14:paraId="681ABE5F" w14:textId="77777777" w:rsidR="00551905" w:rsidRPr="00850CC8" w:rsidRDefault="00000000" w:rsidP="00850CC8">
      <w:pPr>
        <w:spacing w:after="120" w:line="276" w:lineRule="auto"/>
        <w:ind w:left="360" w:hanging="360"/>
        <w:rPr>
          <w:rFonts w:ascii="Times New Roman" w:hAnsi="Times New Roman" w:cs="Times New Roman"/>
          <w:sz w:val="22"/>
          <w:szCs w:val="22"/>
        </w:rPr>
      </w:pPr>
      <w:r>
        <w:rPr>
          <w:rFonts w:ascii="Times New Roman" w:hAnsi="Times New Roman" w:cs="Times New Roman"/>
          <w:b/>
          <w:bCs/>
          <w:sz w:val="22"/>
          <w:szCs w:val="22"/>
        </w:rPr>
        <w:t>12. </w:t>
      </w:r>
      <w:r>
        <w:rPr>
          <w:rFonts w:ascii="Times New Roman" w:hAnsi="Times New Roman" w:cs="Times New Roman"/>
          <w:sz w:val="22"/>
          <w:szCs w:val="22"/>
        </w:rPr>
        <w:t xml:space="preserve">Nicholas Wolterstorff, </w:t>
      </w:r>
      <w:r>
        <w:rPr>
          <w:rFonts w:ascii="Times New Roman" w:hAnsi="Times New Roman" w:cs="Times New Roman"/>
          <w:i/>
          <w:iCs/>
          <w:sz w:val="22"/>
          <w:szCs w:val="22"/>
        </w:rPr>
        <w:t>Justice: Rights and Wrongs</w:t>
      </w:r>
      <w:r>
        <w:rPr>
          <w:rFonts w:ascii="Times New Roman" w:hAnsi="Times New Roman" w:cs="Times New Roman"/>
          <w:sz w:val="22"/>
          <w:szCs w:val="22"/>
        </w:rPr>
        <w:t xml:space="preserve"> (Princeton: Princeton University Press, 2008); </w:t>
      </w:r>
      <w:r>
        <w:rPr>
          <w:rFonts w:ascii="Times New Roman" w:hAnsi="Times New Roman" w:cs="Times New Roman"/>
          <w:i/>
          <w:iCs/>
          <w:sz w:val="22"/>
          <w:szCs w:val="22"/>
        </w:rPr>
        <w:t>Justice in Love</w:t>
      </w:r>
      <w:r>
        <w:rPr>
          <w:rFonts w:ascii="Times New Roman" w:hAnsi="Times New Roman" w:cs="Times New Roman"/>
          <w:sz w:val="22"/>
          <w:szCs w:val="22"/>
        </w:rPr>
        <w:t xml:space="preserve"> (Grand Rapids: Eerdmans, 2011). The argument of the second book, that love and </w:t>
        <w:lastRenderedPageBreak/>
        <w:t>justice are not in tension but that real love includes the insistence on justice for the wronged, is taken up in chapter eleven.</w:t>
      </w:r>
    </w:p>
    <w:p w14:paraId="6506220B" w14:textId="77777777" w:rsidR="00551905" w:rsidRPr="00850CC8" w:rsidRDefault="00000000" w:rsidP="00850CC8">
      <w:pPr>
        <w:spacing w:after="120" w:line="276" w:lineRule="auto"/>
        <w:ind w:left="360" w:hanging="360"/>
        <w:rPr>
          <w:rFonts w:ascii="Times New Roman" w:hAnsi="Times New Roman" w:cs="Times New Roman"/>
          <w:sz w:val="22"/>
          <w:szCs w:val="22"/>
        </w:rPr>
      </w:pPr>
      <w:r>
        <w:rPr>
          <w:rFonts w:ascii="Times New Roman" w:hAnsi="Times New Roman" w:cs="Times New Roman"/>
          <w:b/>
          <w:bCs/>
          <w:sz w:val="22"/>
          <w:szCs w:val="22"/>
        </w:rPr>
        <w:t>13. </w:t>
      </w:r>
      <w:r>
        <w:rPr>
          <w:rFonts w:ascii="Times New Roman" w:hAnsi="Times New Roman" w:cs="Times New Roman"/>
          <w:sz w:val="22"/>
          <w:szCs w:val="22"/>
        </w:rPr>
        <w:t xml:space="preserve">Karol Wojtyła, </w:t>
      </w:r>
      <w:r>
        <w:rPr>
          <w:rFonts w:ascii="Times New Roman" w:hAnsi="Times New Roman" w:cs="Times New Roman"/>
          <w:i/>
          <w:iCs/>
          <w:sz w:val="22"/>
          <w:szCs w:val="22"/>
        </w:rPr>
        <w:t>Love and Responsibility</w:t>
      </w:r>
      <w:r>
        <w:rPr>
          <w:rFonts w:ascii="Times New Roman" w:hAnsi="Times New Roman" w:cs="Times New Roman"/>
          <w:sz w:val="22"/>
          <w:szCs w:val="22"/>
        </w:rPr>
        <w:t xml:space="preserve">, trans. Grzegorz Ignatik (Boston: Pauline Books and Media, 2013); </w:t>
      </w:r>
      <w:r>
        <w:rPr>
          <w:rFonts w:ascii="Times New Roman" w:hAnsi="Times New Roman" w:cs="Times New Roman"/>
          <w:i/>
          <w:iCs/>
          <w:sz w:val="22"/>
          <w:szCs w:val="22"/>
        </w:rPr>
        <w:t>Person and Act</w:t>
      </w:r>
      <w:r>
        <w:rPr>
          <w:rFonts w:ascii="Times New Roman" w:hAnsi="Times New Roman" w:cs="Times New Roman"/>
          <w:sz w:val="22"/>
          <w:szCs w:val="22"/>
        </w:rPr>
        <w:t xml:space="preserve">, trans. Andrzej Potocki (Dordrecht: D. Reidel, 1979). The personalist norm, that the person is the kind of being for whom only love is the adequate response, is stated with particular clarity in </w:t>
      </w:r>
      <w:r>
        <w:rPr>
          <w:rFonts w:ascii="Times New Roman" w:hAnsi="Times New Roman" w:cs="Times New Roman"/>
          <w:i/>
          <w:iCs/>
          <w:sz w:val="22"/>
          <w:szCs w:val="22"/>
        </w:rPr>
        <w:t>Love and Responsibility</w:t>
      </w:r>
      <w:r>
        <w:rPr>
          <w:rFonts w:ascii="Times New Roman" w:hAnsi="Times New Roman" w:cs="Times New Roman"/>
          <w:sz w:val="22"/>
          <w:szCs w:val="22"/>
        </w:rPr>
        <w:t xml:space="preserve">, 41–42. The “law of the gift” language, drawing on </w:t>
      </w:r>
      <w:r>
        <w:rPr>
          <w:rFonts w:ascii="Times New Roman" w:hAnsi="Times New Roman" w:cs="Times New Roman"/>
          <w:i/>
          <w:iCs/>
          <w:sz w:val="22"/>
          <w:szCs w:val="22"/>
        </w:rPr>
        <w:t>Gaudium et Spes</w:t>
      </w:r>
      <w:r>
        <w:rPr>
          <w:rFonts w:ascii="Times New Roman" w:hAnsi="Times New Roman" w:cs="Times New Roman"/>
          <w:sz w:val="22"/>
          <w:szCs w:val="22"/>
        </w:rPr>
        <w:t xml:space="preserve"> 24, is developed in </w:t>
      </w:r>
      <w:r>
        <w:rPr>
          <w:rFonts w:ascii="Times New Roman" w:hAnsi="Times New Roman" w:cs="Times New Roman"/>
          <w:i/>
          <w:iCs/>
          <w:sz w:val="22"/>
          <w:szCs w:val="22"/>
        </w:rPr>
        <w:t>Person and Act</w:t>
      </w:r>
      <w:r>
        <w:rPr>
          <w:rFonts w:ascii="Times New Roman" w:hAnsi="Times New Roman" w:cs="Times New Roman"/>
          <w:sz w:val="22"/>
          <w:szCs w:val="22"/>
        </w:rPr>
        <w:t xml:space="preserve"> in the context of Wojtyła’s phenomenology of self-possession and self-donation.</w:t>
      </w:r>
    </w:p>
    <w:p w14:paraId="3754F08A" w14:textId="77777777" w:rsidR="00551905" w:rsidRPr="00850CC8" w:rsidRDefault="00000000" w:rsidP="00850CC8">
      <w:pPr>
        <w:spacing w:after="120" w:line="276" w:lineRule="auto"/>
        <w:ind w:left="360" w:hanging="360"/>
        <w:rPr>
          <w:rFonts w:ascii="Times New Roman" w:hAnsi="Times New Roman" w:cs="Times New Roman"/>
          <w:sz w:val="22"/>
          <w:szCs w:val="22"/>
        </w:rPr>
      </w:pPr>
      <w:r>
        <w:rPr>
          <w:rFonts w:ascii="Times New Roman" w:hAnsi="Times New Roman" w:cs="Times New Roman"/>
          <w:b/>
          <w:bCs/>
          <w:sz w:val="22"/>
          <w:szCs w:val="22"/>
        </w:rPr>
        <w:t>14. </w:t>
      </w:r>
      <w:r>
        <w:rPr>
          <w:rFonts w:ascii="Times New Roman" w:hAnsi="Times New Roman" w:cs="Times New Roman"/>
          <w:sz w:val="22"/>
          <w:szCs w:val="22"/>
        </w:rPr>
        <w:t xml:space="preserve">Martin Buber, </w:t>
      </w:r>
      <w:r>
        <w:rPr>
          <w:rFonts w:ascii="Times New Roman" w:hAnsi="Times New Roman" w:cs="Times New Roman"/>
          <w:i/>
          <w:iCs/>
          <w:sz w:val="22"/>
          <w:szCs w:val="22"/>
        </w:rPr>
        <w:t>I and Thou</w:t>
      </w:r>
      <w:r>
        <w:rPr>
          <w:rFonts w:ascii="Times New Roman" w:hAnsi="Times New Roman" w:cs="Times New Roman"/>
          <w:sz w:val="22"/>
          <w:szCs w:val="22"/>
        </w:rPr>
        <w:t xml:space="preserve">, trans. Walter Kaufmann (New York: Scribner, 1970). The argument that personhood is constituted in the I-Thou encounter rather than in solitary self-possession is made throughout, but see especially Part One. For a theological extension of Buber’s relational ontology that is directly relevant to the present argument, see Emil Brunner, </w:t>
      </w:r>
      <w:r>
        <w:rPr>
          <w:rFonts w:ascii="Times New Roman" w:hAnsi="Times New Roman" w:cs="Times New Roman"/>
          <w:i/>
          <w:iCs/>
          <w:sz w:val="22"/>
          <w:szCs w:val="22"/>
        </w:rPr>
        <w:t>Truth as Encounter</w:t>
      </w:r>
      <w:r>
        <w:rPr>
          <w:rFonts w:ascii="Times New Roman" w:hAnsi="Times New Roman" w:cs="Times New Roman"/>
          <w:sz w:val="22"/>
          <w:szCs w:val="22"/>
        </w:rPr>
        <w:t>, trans. Amandus Loos and David Cairns (Philadelphia: Westminster Press, 1964).</w:t>
      </w:r>
    </w:p>
    <w:p w14:paraId="509CB13A" w14:textId="77777777" w:rsidR="00551905" w:rsidRPr="00850CC8" w:rsidRDefault="00000000" w:rsidP="00850CC8">
      <w:pPr>
        <w:spacing w:after="120" w:line="276" w:lineRule="auto"/>
        <w:ind w:left="360" w:hanging="360"/>
        <w:rPr>
          <w:rFonts w:ascii="Times New Roman" w:hAnsi="Times New Roman" w:cs="Times New Roman"/>
          <w:sz w:val="22"/>
          <w:szCs w:val="22"/>
        </w:rPr>
      </w:pPr>
      <w:r>
        <w:rPr>
          <w:rFonts w:ascii="Times New Roman" w:hAnsi="Times New Roman" w:cs="Times New Roman"/>
          <w:b/>
          <w:bCs/>
          <w:sz w:val="22"/>
          <w:szCs w:val="22"/>
        </w:rPr>
        <w:t>15. </w:t>
      </w:r>
      <w:r>
        <w:rPr>
          <w:rFonts w:ascii="Times New Roman" w:hAnsi="Times New Roman" w:cs="Times New Roman"/>
          <w:sz w:val="22"/>
          <w:szCs w:val="22"/>
        </w:rPr>
        <w:t xml:space="preserve">Rufus Burrow Jr., </w:t>
      </w:r>
      <w:r>
        <w:rPr>
          <w:rFonts w:ascii="Times New Roman" w:hAnsi="Times New Roman" w:cs="Times New Roman"/>
          <w:i/>
          <w:iCs/>
          <w:sz w:val="22"/>
          <w:szCs w:val="22"/>
        </w:rPr>
        <w:t>God and Human Dignity: The Personalism, Theology, and Ethics of Martin Luther King, Jr.</w:t>
      </w:r>
      <w:r>
        <w:rPr>
          <w:rFonts w:ascii="Times New Roman" w:hAnsi="Times New Roman" w:cs="Times New Roman"/>
          <w:sz w:val="22"/>
          <w:szCs w:val="22"/>
        </w:rPr>
        <w:t xml:space="preserve"> (Notre Dame: University of Notre Dame Press, 2006). Burrow’s account of what he calls King’s “homespun personalism,” rooted in the Black church tradition and only later confirmed by academic study at Boston University, is an important corrective to readings of King that treat his philosophical commitments as borrowed overlays on an otherwise pragmatic activism. For the core propositions of King’s theistic personalism as Burrow reconstructs them, see especially 23–47. See also Burrow, </w:t>
      </w:r>
      <w:r>
        <w:rPr>
          <w:rFonts w:ascii="Times New Roman" w:hAnsi="Times New Roman" w:cs="Times New Roman"/>
          <w:i/>
          <w:iCs/>
          <w:sz w:val="22"/>
          <w:szCs w:val="22"/>
        </w:rPr>
        <w:t>Personalism: A Critical Introduction</w:t>
      </w:r>
      <w:r>
        <w:rPr>
          <w:rFonts w:ascii="Times New Roman" w:hAnsi="Times New Roman" w:cs="Times New Roman"/>
          <w:sz w:val="22"/>
          <w:szCs w:val="22"/>
        </w:rPr>
        <w:t xml:space="preserve"> (St. Louis: Chalice Press, 1999), 95–130, for the Boston personalist framework within which King’s ethics was formed.</w:t>
      </w:r>
    </w:p>
    <w:p w14:paraId="2647E8C5" w14:textId="77777777" w:rsidR="00551905" w:rsidRPr="00850CC8" w:rsidRDefault="00000000" w:rsidP="00850CC8">
      <w:pPr>
        <w:spacing w:after="120" w:line="276" w:lineRule="auto"/>
        <w:ind w:left="360" w:hanging="360"/>
        <w:rPr>
          <w:rFonts w:ascii="Times New Roman" w:hAnsi="Times New Roman" w:cs="Times New Roman"/>
          <w:sz w:val="22"/>
          <w:szCs w:val="22"/>
        </w:rPr>
      </w:pPr>
      <w:r>
        <w:rPr>
          <w:rFonts w:ascii="Times New Roman" w:hAnsi="Times New Roman" w:cs="Times New Roman"/>
          <w:b/>
          <w:bCs/>
          <w:sz w:val="22"/>
          <w:szCs w:val="22"/>
        </w:rPr>
        <w:t>16. </w:t>
      </w:r>
      <w:r>
        <w:rPr>
          <w:rFonts w:ascii="Times New Roman" w:hAnsi="Times New Roman" w:cs="Times New Roman"/>
          <w:sz w:val="22"/>
          <w:szCs w:val="22"/>
        </w:rPr>
        <w:t xml:space="preserve">The most sustained recent attempt to ground a relational ethics in Trinitarian theology is Colin Gunton, </w:t>
      </w:r>
      <w:r>
        <w:rPr>
          <w:rFonts w:ascii="Times New Roman" w:hAnsi="Times New Roman" w:cs="Times New Roman"/>
          <w:i/>
          <w:iCs/>
          <w:sz w:val="22"/>
          <w:szCs w:val="22"/>
        </w:rPr>
        <w:t>The One, the Three and the Many: God, Creation and the Culture of Modernity</w:t>
      </w:r>
      <w:r>
        <w:rPr>
          <w:rFonts w:ascii="Times New Roman" w:hAnsi="Times New Roman" w:cs="Times New Roman"/>
          <w:sz w:val="22"/>
          <w:szCs w:val="22"/>
        </w:rPr>
        <w:t xml:space="preserve"> (Cambridge: Cambridge University Press, 1993). John Zizioulas’s </w:t>
      </w:r>
      <w:r>
        <w:rPr>
          <w:rFonts w:ascii="Times New Roman" w:hAnsi="Times New Roman" w:cs="Times New Roman"/>
          <w:i/>
          <w:iCs/>
          <w:sz w:val="22"/>
          <w:szCs w:val="22"/>
        </w:rPr>
        <w:t>Being as Communion: Studies in Personhood and the Church</w:t>
      </w:r>
      <w:r>
        <w:rPr>
          <w:rFonts w:ascii="Times New Roman" w:hAnsi="Times New Roman" w:cs="Times New Roman"/>
          <w:sz w:val="22"/>
          <w:szCs w:val="22"/>
        </w:rPr>
        <w:t xml:space="preserve"> (Crestwood, NY: St. Vladimir’s Seminary Press, 1985) provides the ontological framework that makes the ethical argument possible.</w:t>
      </w:r>
    </w:p>
    <w:p w14:paraId="2FB99A38" w14:textId="77777777" w:rsidR="00551905" w:rsidRPr="00850CC8" w:rsidRDefault="00000000" w:rsidP="00850CC8">
      <w:pPr>
        <w:spacing w:after="120" w:line="276" w:lineRule="auto"/>
        <w:ind w:left="360" w:hanging="360"/>
        <w:rPr>
          <w:rFonts w:ascii="Times New Roman" w:hAnsi="Times New Roman" w:cs="Times New Roman"/>
          <w:sz w:val="22"/>
          <w:szCs w:val="22"/>
        </w:rPr>
      </w:pPr>
      <w:r>
        <w:rPr>
          <w:rFonts w:ascii="Times New Roman" w:hAnsi="Times New Roman" w:cs="Times New Roman"/>
          <w:b/>
          <w:bCs/>
          <w:sz w:val="22"/>
          <w:szCs w:val="22"/>
        </w:rPr>
        <w:t>17. </w:t>
      </w:r>
      <w:r>
        <w:rPr>
          <w:rFonts w:ascii="Times New Roman" w:hAnsi="Times New Roman" w:cs="Times New Roman"/>
          <w:sz w:val="22"/>
          <w:szCs w:val="22"/>
        </w:rPr>
        <w:t xml:space="preserve">The distinction between the situational and the relative is important enough to warrant a preliminary note here. The claim that ethics is situational does not mean that moral principles are only guidelines to be set aside when inconvenient. It means that the application of any principle to a particular case requires a form of practical wisdom, what Aristotle called </w:t>
      </w:r>
      <w:r>
        <w:rPr>
          <w:rFonts w:ascii="Times New Roman" w:hAnsi="Times New Roman" w:cs="Times New Roman"/>
          <w:i/>
          <w:iCs/>
          <w:sz w:val="22"/>
          <w:szCs w:val="22"/>
        </w:rPr>
        <w:t>phronēsis</w:t>
      </w:r>
      <w:r>
        <w:rPr>
          <w:rFonts w:ascii="Times New Roman" w:hAnsi="Times New Roman" w:cs="Times New Roman"/>
          <w:sz w:val="22"/>
          <w:szCs w:val="22"/>
        </w:rPr>
        <w:t>, that cannot itself be reduced to a further principle. The person who treats every situation as interchangeable, applying the same response regardless of who is before her and what relationship she stands in, is not being more rigorous. She is being less attentive, and attention is itself a moral category. This is developed more fully in chapter four. See also the christotelic approach to Old Testament interpretation employed in chapters six and seven, which understands the Old Testament as carrying a meaning that is disclosed and deepened by the New Testament witness without being replaced by it.</w:t>
      </w:r>
    </w:p>
    <w:p w14:paraId="4902A3B6" w14:textId="5074D42A" w:rsidR="008910E5" w:rsidRPr="00850CC8" w:rsidRDefault="008910E5" w:rsidP="00850CC8">
      <w:pPr>
        <w:spacing w:line="276" w:lineRule="auto"/>
        <w:rPr>
          <w:rFonts w:ascii="Times New Roman" w:hAnsi="Times New Roman" w:cs="Times New Roman"/>
          <w:b/>
          <w:bCs/>
          <w:sz w:val="22"/>
          <w:szCs w:val="22"/>
        </w:rPr>
      </w:pPr>
      <w:r>
        <w:rPr>
          <w:rFonts w:ascii="Times New Roman" w:hAnsi="Times New Roman" w:cs="Times New Roman"/>
          <w:b/>
          <w:bCs/>
          <w:sz w:val="22"/>
          <w:szCs w:val="22"/>
        </w:rPr>
        <w:br w:type="page"/>
      </w:r>
    </w:p>
    <w:p w14:paraId="7A242D97" w14:textId="77777777" w:rsidR="0036118E" w:rsidRPr="00850CC8" w:rsidRDefault="0036118E" w:rsidP="00850CC8">
      <w:pPr>
        <w:pStyle w:val="Heading1"/>
        <w:spacing w:line="276" w:lineRule="auto"/>
        <w:jc w:val="center"/>
        <w:rPr>
          <w:rFonts w:ascii="Times New Roman" w:hAnsi="Times New Roman" w:cs="Times New Roman"/>
          <w:color w:val="auto"/>
          <w:sz w:val="22"/>
          <w:szCs w:val="22"/>
        </w:rPr>
      </w:pPr>
      <w:bookmarkStart w:id="4" w:name="_Toc228335810"/>
      <w:r>
        <w:rPr>
          <w:rFonts w:ascii="Times New Roman" w:hAnsi="Times New Roman" w:cs="Times New Roman"/>
          <w:color w:val="auto"/>
          <w:sz w:val="22"/>
          <w:szCs w:val="22"/>
        </w:rPr>
        <w:lastRenderedPageBreak/>
        <w:t>Chapter One</w:t>
        <w:br/>
        <w:t>The Moral Life We Actually Live</w:t>
      </w:r>
      <w:bookmarkEnd w:id="4"/>
    </w:p>
    <w:p w14:paraId="58F5F1BD" w14:textId="77777777" w:rsidR="0036118E" w:rsidRPr="00850CC8" w:rsidRDefault="0036118E" w:rsidP="00850CC8">
      <w:pPr>
        <w:pStyle w:val="Heading1"/>
        <w:spacing w:line="276" w:lineRule="auto"/>
        <w:jc w:val="center"/>
        <w:rPr>
          <w:rFonts w:ascii="Times New Roman" w:hAnsi="Times New Roman" w:cs="Times New Roman"/>
          <w:color w:val="auto"/>
          <w:sz w:val="22"/>
          <w:szCs w:val="22"/>
        </w:rPr>
      </w:pPr>
    </w:p>
    <w:p w14:paraId="6E47D179" w14:textId="77777777" w:rsidR="0036118E" w:rsidRPr="00850CC8" w:rsidRDefault="0036118E"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There is a peculiar experience that comes, sooner or later, to almost everyone who thinks seriously about ethics. You read a careful argument for some moral principle and find yourself persuaded by it: the reasoning is sound, the premises seem right, the conclusion follows. And then a situation arises in which the principle, applied straightforwardly, recommends something that strikes you as plainly wrong. Not a little wrong, not wrong in some technical sense, but deeply, obviously, troublingly wrong. And you are left wondering whether the problem lies in the principle or in your intuition.</w:t>
      </w:r>
    </w:p>
    <w:p w14:paraId="543C0BC9" w14:textId="77777777" w:rsidR="0036118E" w:rsidRPr="00850CC8" w:rsidRDefault="0036118E" w:rsidP="00850CC8">
      <w:pPr>
        <w:spacing w:line="276" w:lineRule="auto"/>
        <w:rPr>
          <w:rFonts w:ascii="Times New Roman" w:hAnsi="Times New Roman" w:cs="Times New Roman"/>
          <w:sz w:val="22"/>
          <w:szCs w:val="22"/>
        </w:rPr>
      </w:pPr>
    </w:p>
    <w:p w14:paraId="1E9D0F8A" w14:textId="77777777" w:rsidR="0036118E" w:rsidRPr="00850CC8" w:rsidRDefault="0036118E"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In practice, most of us trust our intuition. We revise the principle, or qualify it, or set it aside for the moment, and try to think about what the situation actually requires. And there is something important in that instinct. The moral intuitions we carry are not random noise. They have been shaped by long experience of what it is to be human, by traditions of wisdom about how life goes well and badly, and by the moral knowledge that, as Paul suggests, is written on the human heart.</w:t>
      </w:r>
      <w:r>
        <w:rPr>
          <w:rFonts w:ascii="Times New Roman" w:hAnsi="Times New Roman" w:cs="Times New Roman"/>
          <w:sz w:val="22"/>
          <w:szCs w:val="22"/>
          <w:vertAlign w:val="superscript"/>
        </w:rPr>
        <w:t>1</w:t>
      </w:r>
      <w:r>
        <w:rPr>
          <w:rFonts w:ascii="Times New Roman" w:hAnsi="Times New Roman" w:cs="Times New Roman"/>
          <w:sz w:val="22"/>
          <w:szCs w:val="22"/>
        </w:rPr>
        <w:t xml:space="preserve"> When a principle produces a conclusion that strikes virtually everyone as monstrous, the problem is probably with the principle.</w:t>
      </w:r>
    </w:p>
    <w:p w14:paraId="0A69DBBB" w14:textId="77777777" w:rsidR="0036118E" w:rsidRPr="00850CC8" w:rsidRDefault="0036118E" w:rsidP="00850CC8">
      <w:pPr>
        <w:spacing w:line="276" w:lineRule="auto"/>
        <w:rPr>
          <w:rFonts w:ascii="Times New Roman" w:hAnsi="Times New Roman" w:cs="Times New Roman"/>
          <w:sz w:val="22"/>
          <w:szCs w:val="22"/>
        </w:rPr>
      </w:pPr>
    </w:p>
    <w:p w14:paraId="1A1F4A0F" w14:textId="77777777" w:rsidR="0036118E" w:rsidRPr="00850CC8" w:rsidRDefault="0036118E"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This chapter takes that observation seriously. It is not a survey of everything that has gone wrong with Western ethical theory, nor is it an argument that the great moral philosophers were simply confused. They were not. What they were, in many cases, brilliantly right about something, and then in difficulty when that something was asked to bear more weight than it could carry. The goal here is to attend to what each major tradition has actually perceived, and then to ask what the pattern of their collective difficulty might be pointing toward.</w:t>
      </w:r>
    </w:p>
    <w:p w14:paraId="3D68F2F9" w14:textId="77777777" w:rsidR="0036118E" w:rsidRPr="00850CC8" w:rsidRDefault="0036118E" w:rsidP="00850CC8">
      <w:pPr>
        <w:spacing w:line="276" w:lineRule="auto"/>
        <w:rPr>
          <w:rFonts w:ascii="Times New Roman" w:hAnsi="Times New Roman" w:cs="Times New Roman"/>
          <w:sz w:val="22"/>
          <w:szCs w:val="22"/>
        </w:rPr>
      </w:pPr>
    </w:p>
    <w:p w14:paraId="7E3E05E8" w14:textId="77777777" w:rsidR="0036118E" w:rsidRPr="00850CC8" w:rsidRDefault="0036118E"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The answer I want to propose, by the end of this chapter, is that the difficulty runs deeper than any particular principle. It runs to an assumption so basic that it is usually not stated as an assumption at all: the assumption that the individual human being, considered in isolation, is the proper starting point for ethical reasoning. That assumption, I want to suggest, is worth examining. Not because it is simply false, but because it leaves something out that turns out to be rather important.</w:t>
      </w:r>
    </w:p>
    <w:p w14:paraId="2C75921D" w14:textId="77777777" w:rsidR="0036118E" w:rsidRPr="00850CC8" w:rsidRDefault="0036118E" w:rsidP="00850CC8">
      <w:pPr>
        <w:spacing w:line="276" w:lineRule="auto"/>
        <w:rPr>
          <w:rFonts w:ascii="Times New Roman" w:hAnsi="Times New Roman" w:cs="Times New Roman"/>
          <w:sz w:val="22"/>
          <w:szCs w:val="22"/>
        </w:rPr>
      </w:pPr>
    </w:p>
    <w:p w14:paraId="35732DB0" w14:textId="77777777" w:rsidR="0036118E" w:rsidRPr="00850CC8" w:rsidRDefault="0036118E" w:rsidP="00850CC8">
      <w:pPr>
        <w:spacing w:before="480" w:after="240" w:line="276" w:lineRule="auto"/>
        <w:rPr>
          <w:rFonts w:ascii="Times New Roman" w:hAnsi="Times New Roman" w:cs="Times New Roman"/>
          <w:sz w:val="22"/>
          <w:szCs w:val="22"/>
        </w:rPr>
      </w:pPr>
      <w:r>
        <w:rPr>
          <w:rFonts w:ascii="Times New Roman" w:hAnsi="Times New Roman" w:cs="Times New Roman"/>
          <w:b/>
          <w:bCs/>
          <w:sz w:val="22"/>
          <w:szCs w:val="22"/>
        </w:rPr>
        <w:t>The Utilitarian Insight and Its Limits</w:t>
      </w:r>
    </w:p>
    <w:p w14:paraId="1EAC99E6" w14:textId="77777777" w:rsidR="0036118E" w:rsidRPr="00850CC8" w:rsidRDefault="0036118E" w:rsidP="00850CC8">
      <w:pPr>
        <w:spacing w:line="276" w:lineRule="auto"/>
        <w:jc w:val="both"/>
        <w:rPr>
          <w:rFonts w:ascii="Times New Roman" w:hAnsi="Times New Roman" w:cs="Times New Roman"/>
          <w:sz w:val="22"/>
          <w:szCs w:val="22"/>
        </w:rPr>
      </w:pPr>
      <w:r>
        <w:rPr>
          <w:rFonts w:ascii="Times New Roman" w:hAnsi="Times New Roman" w:cs="Times New Roman"/>
          <w:sz w:val="22"/>
          <w:szCs w:val="22"/>
        </w:rPr>
        <w:t>Jeremy Bentham’s proposal, developed and refined by John Stuart Mill, has a clarity that is immediately appealing. Nature has placed us, Bentham observed, under the governance of two sovereign masters: pleasure and pain. From this foundation, the utilitarian builds a framework that, in principle, is both objective and practical. An action is right insofar as it tends to promote happiness; wrong insofar as it tends to produce its reverse. We can, at least in theory, assess the consequences of our choices and act accordingly.</w:t>
      </w:r>
      <w:r>
        <w:rPr>
          <w:rFonts w:ascii="Times New Roman" w:hAnsi="Times New Roman" w:cs="Times New Roman"/>
          <w:sz w:val="22"/>
          <w:szCs w:val="22"/>
          <w:vertAlign w:val="superscript"/>
        </w:rPr>
        <w:t>2</w:t>
      </w:r>
    </w:p>
    <w:p w14:paraId="5E98C1AD" w14:textId="77777777" w:rsidR="0036118E" w:rsidRPr="00850CC8" w:rsidRDefault="0036118E" w:rsidP="00850CC8">
      <w:pPr>
        <w:spacing w:line="276" w:lineRule="auto"/>
        <w:rPr>
          <w:rFonts w:ascii="Times New Roman" w:hAnsi="Times New Roman" w:cs="Times New Roman"/>
          <w:sz w:val="22"/>
          <w:szCs w:val="22"/>
        </w:rPr>
      </w:pPr>
    </w:p>
    <w:p w14:paraId="254B01BC" w14:textId="77777777" w:rsidR="0036118E" w:rsidRPr="00850CC8" w:rsidRDefault="0036118E"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 xml:space="preserve">What utilitarianism perceived, and perceived rightly, is that consequences matter. It seems obvious, once stated, but the obvious can escape notice in ethical theorizing, and there have been traditions of moral </w:t>
        <w:lastRenderedPageBreak/>
        <w:t>thought so focused on rule-following that consequences were treated as almost irrelevant. Utilitarianism corrected that. The suffering that results from our choices is morally real, and it counts. The happiness that our actions promote is a real good, and it counts too. These are not small contributions.</w:t>
      </w:r>
    </w:p>
    <w:p w14:paraId="498E54C0" w14:textId="77777777" w:rsidR="0036118E" w:rsidRPr="00850CC8" w:rsidRDefault="0036118E" w:rsidP="00850CC8">
      <w:pPr>
        <w:spacing w:line="276" w:lineRule="auto"/>
        <w:rPr>
          <w:rFonts w:ascii="Times New Roman" w:hAnsi="Times New Roman" w:cs="Times New Roman"/>
          <w:sz w:val="22"/>
          <w:szCs w:val="22"/>
        </w:rPr>
      </w:pPr>
    </w:p>
    <w:p w14:paraId="74562037" w14:textId="77777777" w:rsidR="0036118E" w:rsidRPr="00850CC8" w:rsidRDefault="0036118E"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The difficulty comes not in what utilitarianism affirms but in what it must deny if the framework is to remain consistent. It must deny that there is any morally relevant difference between my obligation to my own child and my obligation to a stranger’s child, provided the consequences are equivalent. It must deny that the rights of a minority have any absolute standing against the preferences of a sufficiently large majority. And it must, in principle, permit the serious harm of an innocent person if the aggregate benefit to others is large enough.</w:t>
      </w:r>
      <w:r>
        <w:rPr>
          <w:rFonts w:ascii="Times New Roman" w:hAnsi="Times New Roman" w:cs="Times New Roman"/>
          <w:sz w:val="22"/>
          <w:szCs w:val="22"/>
          <w:vertAlign w:val="superscript"/>
        </w:rPr>
        <w:t>3</w:t>
      </w:r>
    </w:p>
    <w:p w14:paraId="271ECF59" w14:textId="77777777" w:rsidR="0036118E" w:rsidRPr="00850CC8" w:rsidRDefault="0036118E" w:rsidP="00850CC8">
      <w:pPr>
        <w:spacing w:line="276" w:lineRule="auto"/>
        <w:rPr>
          <w:rFonts w:ascii="Times New Roman" w:hAnsi="Times New Roman" w:cs="Times New Roman"/>
          <w:sz w:val="22"/>
          <w:szCs w:val="22"/>
        </w:rPr>
      </w:pPr>
    </w:p>
    <w:p w14:paraId="64055C6D" w14:textId="77777777" w:rsidR="0036118E" w:rsidRPr="00850CC8" w:rsidRDefault="0036118E"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Most people, encountering these implications, do not revise their intuitions. They revise their estimation of the theory. And their instinct seems sound. The utilitarian calculus cannot account for the moral weight of particular relationships, for the irreducible dignity of persons that stands apart from their contribution to aggregate welfare, or for the way that the history shared between two people generates obligations that no calculation from outside that relationship can fully capture. It is not that utilitarianism is wrong about consequences. It is that consequences alone cannot carry the full weight of an ethically informed life.</w:t>
      </w:r>
    </w:p>
    <w:p w14:paraId="3CB7AC4C" w14:textId="77777777" w:rsidR="0036118E" w:rsidRPr="00850CC8" w:rsidRDefault="0036118E" w:rsidP="00850CC8">
      <w:pPr>
        <w:spacing w:line="276" w:lineRule="auto"/>
        <w:rPr>
          <w:rFonts w:ascii="Times New Roman" w:hAnsi="Times New Roman" w:cs="Times New Roman"/>
          <w:sz w:val="22"/>
          <w:szCs w:val="22"/>
        </w:rPr>
      </w:pPr>
    </w:p>
    <w:p w14:paraId="6D59AC42" w14:textId="77777777" w:rsidR="0036118E" w:rsidRPr="00850CC8" w:rsidRDefault="0036118E" w:rsidP="00850CC8">
      <w:pPr>
        <w:spacing w:before="480" w:after="240" w:line="276" w:lineRule="auto"/>
        <w:rPr>
          <w:rFonts w:ascii="Times New Roman" w:hAnsi="Times New Roman" w:cs="Times New Roman"/>
          <w:sz w:val="22"/>
          <w:szCs w:val="22"/>
        </w:rPr>
      </w:pPr>
      <w:r>
        <w:rPr>
          <w:rFonts w:ascii="Times New Roman" w:hAnsi="Times New Roman" w:cs="Times New Roman"/>
          <w:b/>
          <w:bCs/>
          <w:sz w:val="22"/>
          <w:szCs w:val="22"/>
        </w:rPr>
        <w:t>Kant and the Dignity of Persons</w:t>
      </w:r>
    </w:p>
    <w:p w14:paraId="24325936" w14:textId="77777777" w:rsidR="0036118E" w:rsidRPr="00850CC8" w:rsidRDefault="0036118E" w:rsidP="00850CC8">
      <w:pPr>
        <w:spacing w:line="276" w:lineRule="auto"/>
        <w:jc w:val="both"/>
        <w:rPr>
          <w:rFonts w:ascii="Times New Roman" w:hAnsi="Times New Roman" w:cs="Times New Roman"/>
          <w:sz w:val="22"/>
          <w:szCs w:val="22"/>
        </w:rPr>
      </w:pPr>
      <w:r>
        <w:rPr>
          <w:rFonts w:ascii="Times New Roman" w:hAnsi="Times New Roman" w:cs="Times New Roman"/>
          <w:sz w:val="22"/>
          <w:szCs w:val="22"/>
        </w:rPr>
        <w:t>Immanuel Kant’s response to the utilitarian tradition could hardly have been more different in method, and in one crucial respect, it marked a significant advance. Where utilitarianism grounds moral obligation in the calculation of outcomes, Kant grounds it in the nature of rational agency itself. The moral law is not derived from experience but from reason, and its fundamental requirement, as Kant called it, is that we treat humanity, whether in our own person or in the person of any other, always as an end and never merely as a means.</w:t>
      </w:r>
      <w:r>
        <w:rPr>
          <w:rFonts w:ascii="Times New Roman" w:hAnsi="Times New Roman" w:cs="Times New Roman"/>
          <w:sz w:val="22"/>
          <w:szCs w:val="22"/>
          <w:vertAlign w:val="superscript"/>
        </w:rPr>
        <w:t>4</w:t>
      </w:r>
    </w:p>
    <w:p w14:paraId="3A954290" w14:textId="77777777" w:rsidR="0036118E" w:rsidRPr="00850CC8" w:rsidRDefault="0036118E" w:rsidP="00850CC8">
      <w:pPr>
        <w:spacing w:line="276" w:lineRule="auto"/>
        <w:rPr>
          <w:rFonts w:ascii="Times New Roman" w:hAnsi="Times New Roman" w:cs="Times New Roman"/>
          <w:sz w:val="22"/>
          <w:szCs w:val="22"/>
        </w:rPr>
      </w:pPr>
    </w:p>
    <w:p w14:paraId="0B274EE7" w14:textId="77777777" w:rsidR="0036118E" w:rsidRPr="00850CC8" w:rsidRDefault="0036118E"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This formulation contains something of permanent importance. The insistence that persons have a dignity that cannot be reduced to their usefulness, that there is something about a human being that demands respect regardless of what they can do for us, is not a minor contribution to moral thought. It is one of the deepest moral insights the Western tradition has produced, and nothing in what follows should be read as diminishing it. When we say that human beings have rights that cannot simply be overridden by utilitarian calculation, we are drawing on something that Kant articulated with great precision.</w:t>
      </w:r>
    </w:p>
    <w:p w14:paraId="7E0ABD6B" w14:textId="77777777" w:rsidR="0036118E" w:rsidRPr="00850CC8" w:rsidRDefault="0036118E" w:rsidP="00850CC8">
      <w:pPr>
        <w:spacing w:line="276" w:lineRule="auto"/>
        <w:rPr>
          <w:rFonts w:ascii="Times New Roman" w:hAnsi="Times New Roman" w:cs="Times New Roman"/>
          <w:sz w:val="22"/>
          <w:szCs w:val="22"/>
        </w:rPr>
      </w:pPr>
    </w:p>
    <w:p w14:paraId="7D11B957" w14:textId="77777777" w:rsidR="0036118E" w:rsidRPr="00850CC8" w:rsidRDefault="0036118E"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The difficulty with Kantian ethics stems from one of its most characteristic features: its insistence on universality. For Kant, a moral principle is valid precisely because it applies to all rational agents equally, without regard to their particular situations, relationships, or histories. The same categorical imperative that governs my dealings with a stranger governs my dealings with my spouse and my children. Special obligations arising from particular relationships have no standing as such within the Kantian framework; they can at best be accommodated as instrumental to the requirements of universal duty.</w:t>
      </w:r>
      <w:r>
        <w:rPr>
          <w:rFonts w:ascii="Times New Roman" w:hAnsi="Times New Roman" w:cs="Times New Roman"/>
          <w:sz w:val="22"/>
          <w:szCs w:val="22"/>
          <w:vertAlign w:val="superscript"/>
        </w:rPr>
        <w:t>5</w:t>
      </w:r>
    </w:p>
    <w:p w14:paraId="2C002808" w14:textId="77777777" w:rsidR="0036118E" w:rsidRPr="00850CC8" w:rsidRDefault="0036118E" w:rsidP="00850CC8">
      <w:pPr>
        <w:spacing w:line="276" w:lineRule="auto"/>
        <w:rPr>
          <w:rFonts w:ascii="Times New Roman" w:hAnsi="Times New Roman" w:cs="Times New Roman"/>
          <w:sz w:val="22"/>
          <w:szCs w:val="22"/>
        </w:rPr>
      </w:pPr>
    </w:p>
    <w:p w14:paraId="1D0C8443" w14:textId="77777777" w:rsidR="0036118E" w:rsidRPr="00850CC8" w:rsidRDefault="0036118E"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lastRenderedPageBreak/>
        <w:t>But this is not how morality actually works, and most of us know it. The obligation I bear to my child is not a special case of the obligation I bear to strangers, accommodated to a particular context. It is a different kind of obligation, arising from a different kind of relationship, carrying a weight that no calculation from universal principles can generate. Bernard Williams pressed this point with characteristic directness, noting that if a man has to deliberate about whether to save his drowning wife by running through the calculus of impartial duty, he has “one thought too many.”</w:t>
      </w:r>
      <w:r>
        <w:rPr>
          <w:rFonts w:ascii="Times New Roman" w:hAnsi="Times New Roman" w:cs="Times New Roman"/>
          <w:sz w:val="22"/>
          <w:szCs w:val="22"/>
          <w:vertAlign w:val="superscript"/>
        </w:rPr>
        <w:t>6</w:t>
      </w:r>
      <w:r>
        <w:rPr>
          <w:rFonts w:ascii="Times New Roman" w:hAnsi="Times New Roman" w:cs="Times New Roman"/>
          <w:sz w:val="22"/>
          <w:szCs w:val="22"/>
        </w:rPr>
        <w:t xml:space="preserve"> The relationship is itself the moral reason, not a consideration to be weighed alongside other considerations.</w:t>
      </w:r>
    </w:p>
    <w:p w14:paraId="043AD184" w14:textId="77777777" w:rsidR="0036118E" w:rsidRPr="00850CC8" w:rsidRDefault="0036118E" w:rsidP="00850CC8">
      <w:pPr>
        <w:spacing w:line="276" w:lineRule="auto"/>
        <w:rPr>
          <w:rFonts w:ascii="Times New Roman" w:hAnsi="Times New Roman" w:cs="Times New Roman"/>
          <w:sz w:val="22"/>
          <w:szCs w:val="22"/>
        </w:rPr>
      </w:pPr>
    </w:p>
    <w:p w14:paraId="5F8459E4" w14:textId="77777777" w:rsidR="0036118E" w:rsidRPr="00850CC8" w:rsidRDefault="0036118E" w:rsidP="00850CC8">
      <w:pPr>
        <w:spacing w:before="480" w:after="240" w:line="276" w:lineRule="auto"/>
        <w:rPr>
          <w:rFonts w:ascii="Times New Roman" w:hAnsi="Times New Roman" w:cs="Times New Roman"/>
          <w:sz w:val="22"/>
          <w:szCs w:val="22"/>
        </w:rPr>
      </w:pPr>
      <w:r>
        <w:rPr>
          <w:rFonts w:ascii="Times New Roman" w:hAnsi="Times New Roman" w:cs="Times New Roman"/>
          <w:b/>
          <w:bCs/>
          <w:sz w:val="22"/>
          <w:szCs w:val="22"/>
        </w:rPr>
        <w:t>The Contractarian Tradition</w:t>
      </w:r>
    </w:p>
    <w:p w14:paraId="73796EB8" w14:textId="77777777" w:rsidR="0036118E" w:rsidRPr="00850CC8" w:rsidRDefault="0036118E" w:rsidP="00850CC8">
      <w:pPr>
        <w:spacing w:line="276" w:lineRule="auto"/>
        <w:jc w:val="both"/>
        <w:rPr>
          <w:rFonts w:ascii="Times New Roman" w:hAnsi="Times New Roman" w:cs="Times New Roman"/>
          <w:sz w:val="22"/>
          <w:szCs w:val="22"/>
        </w:rPr>
      </w:pPr>
      <w:r>
        <w:rPr>
          <w:rFonts w:ascii="Times New Roman" w:hAnsi="Times New Roman" w:cs="Times New Roman"/>
          <w:sz w:val="22"/>
          <w:szCs w:val="22"/>
        </w:rPr>
        <w:t>John Rawls refined the contractarian tradition with a device of considerable elegance: the veil of ignorance. Principles of justice, on his account, are those that rational agents would choose from behind a hypothetical position in which they know nothing of their place in society, their class or fortune, their conception of the good, or their natural talents. The device is meant to ensure impartiality: since you do not know which position in the social order you will occupy, you have no incentive to design arrangements that favor the powerful over the vulnerable.</w:t>
      </w:r>
      <w:r>
        <w:rPr>
          <w:rFonts w:ascii="Times New Roman" w:hAnsi="Times New Roman" w:cs="Times New Roman"/>
          <w:sz w:val="22"/>
          <w:szCs w:val="22"/>
          <w:vertAlign w:val="superscript"/>
        </w:rPr>
        <w:t>7</w:t>
      </w:r>
    </w:p>
    <w:p w14:paraId="14998275" w14:textId="77777777" w:rsidR="0036118E" w:rsidRPr="00850CC8" w:rsidRDefault="0036118E" w:rsidP="00850CC8">
      <w:pPr>
        <w:spacing w:line="276" w:lineRule="auto"/>
        <w:rPr>
          <w:rFonts w:ascii="Times New Roman" w:hAnsi="Times New Roman" w:cs="Times New Roman"/>
          <w:sz w:val="22"/>
          <w:szCs w:val="22"/>
        </w:rPr>
      </w:pPr>
    </w:p>
    <w:p w14:paraId="602E6E7C" w14:textId="77777777" w:rsidR="0036118E" w:rsidRPr="00850CC8" w:rsidRDefault="0036118E"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The intuition behind this is morally serious. Arrangements that benefit the well-off at the expense of the vulnerable are precisely the kind of arrangements that look different depending on where you stand within them, and the veil of ignorance is an attempt to step outside that partiality. Rawls was not wrong to think that impartiality is a real moral requirement in many contexts, particularly those involving the basic structure of social institutions.</w:t>
      </w:r>
    </w:p>
    <w:p w14:paraId="70517CC9" w14:textId="77777777" w:rsidR="0036118E" w:rsidRPr="00850CC8" w:rsidRDefault="0036118E" w:rsidP="00850CC8">
      <w:pPr>
        <w:spacing w:line="276" w:lineRule="auto"/>
        <w:rPr>
          <w:rFonts w:ascii="Times New Roman" w:hAnsi="Times New Roman" w:cs="Times New Roman"/>
          <w:sz w:val="22"/>
          <w:szCs w:val="22"/>
        </w:rPr>
      </w:pPr>
    </w:p>
    <w:p w14:paraId="012D20E3" w14:textId="77777777" w:rsidR="0036118E" w:rsidRPr="00850CC8" w:rsidRDefault="0036118E"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T. M. Scanlon’s variant of contractualism offers a more psychologically realistic version of the same basic insight. Rather than asking what hypothetical agents behind a veil would choose, Scanlon asks what principles could not reasonably be rejected by anyone seeking to justify their actions to others on grounds that others could accept.</w:t>
      </w:r>
      <w:r>
        <w:rPr>
          <w:rFonts w:ascii="Times New Roman" w:hAnsi="Times New Roman" w:cs="Times New Roman"/>
          <w:sz w:val="22"/>
          <w:szCs w:val="22"/>
          <w:vertAlign w:val="superscript"/>
        </w:rPr>
        <w:t>8</w:t>
      </w:r>
      <w:r>
        <w:rPr>
          <w:rFonts w:ascii="Times New Roman" w:hAnsi="Times New Roman" w:cs="Times New Roman"/>
          <w:sz w:val="22"/>
          <w:szCs w:val="22"/>
        </w:rPr>
        <w:t xml:space="preserve"> This is a real advance over Rawls in that it grounds morality in actual persons reasoning together rather than hypothetical persons reasoning in isolation from their identities. But both versions of contractualism still begin with the individual as the basic unit of analysis, and both treat particular relationships and histories as complications to be managed rather than as constitutive features of the moral situation.</w:t>
      </w:r>
    </w:p>
    <w:p w14:paraId="3B534D4D" w14:textId="77777777" w:rsidR="0036118E" w:rsidRPr="00850CC8" w:rsidRDefault="0036118E" w:rsidP="00850CC8">
      <w:pPr>
        <w:spacing w:line="276" w:lineRule="auto"/>
        <w:rPr>
          <w:rFonts w:ascii="Times New Roman" w:hAnsi="Times New Roman" w:cs="Times New Roman"/>
          <w:sz w:val="22"/>
          <w:szCs w:val="22"/>
        </w:rPr>
      </w:pPr>
    </w:p>
    <w:p w14:paraId="05C95C98" w14:textId="77777777" w:rsidR="0036118E" w:rsidRPr="00850CC8" w:rsidRDefault="0036118E"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The question that presses on all contractarian approaches is whether any actual person has ever stood behind such a veil, or whether such a person could even be coherently imagined. We are not, in fact, interchangeable rational agents who happen to have acquired particular relationships and identities. We are, from the beginning, persons constituted by those relationships, formed by those identities, responsible to particular others in ways that precede and shape our capacity for the kind of abstract reasoning that contractarianism requires. To ask what I would choose if I did not know who I was is to ask a question that may, in the end, not have a determinate answer.</w:t>
      </w:r>
    </w:p>
    <w:p w14:paraId="18F1D517" w14:textId="77777777" w:rsidR="0036118E" w:rsidRPr="00850CC8" w:rsidRDefault="0036118E" w:rsidP="00850CC8">
      <w:pPr>
        <w:spacing w:line="276" w:lineRule="auto"/>
        <w:rPr>
          <w:rFonts w:ascii="Times New Roman" w:hAnsi="Times New Roman" w:cs="Times New Roman"/>
          <w:sz w:val="22"/>
          <w:szCs w:val="22"/>
        </w:rPr>
      </w:pPr>
    </w:p>
    <w:p w14:paraId="10888ABB" w14:textId="77777777" w:rsidR="0036118E" w:rsidRPr="00850CC8" w:rsidRDefault="0036118E" w:rsidP="00850CC8">
      <w:pPr>
        <w:spacing w:before="480" w:after="240" w:line="276" w:lineRule="auto"/>
        <w:rPr>
          <w:rFonts w:ascii="Times New Roman" w:hAnsi="Times New Roman" w:cs="Times New Roman"/>
          <w:sz w:val="22"/>
          <w:szCs w:val="22"/>
        </w:rPr>
      </w:pPr>
      <w:r>
        <w:rPr>
          <w:rFonts w:ascii="Times New Roman" w:hAnsi="Times New Roman" w:cs="Times New Roman"/>
          <w:b/>
          <w:bCs/>
          <w:sz w:val="22"/>
          <w:szCs w:val="22"/>
        </w:rPr>
        <w:t>W. D. Ross and the Texture of Moral Experience</w:t>
      </w:r>
    </w:p>
    <w:p w14:paraId="613EE453" w14:textId="77777777" w:rsidR="0036118E" w:rsidRPr="00850CC8" w:rsidRDefault="0036118E" w:rsidP="00850CC8">
      <w:pPr>
        <w:spacing w:line="276" w:lineRule="auto"/>
        <w:jc w:val="both"/>
        <w:rPr>
          <w:rFonts w:ascii="Times New Roman" w:hAnsi="Times New Roman" w:cs="Times New Roman"/>
          <w:sz w:val="22"/>
          <w:szCs w:val="22"/>
        </w:rPr>
      </w:pPr>
      <w:r>
        <w:rPr>
          <w:rFonts w:ascii="Times New Roman" w:hAnsi="Times New Roman" w:cs="Times New Roman"/>
          <w:sz w:val="22"/>
          <w:szCs w:val="22"/>
        </w:rPr>
        <w:lastRenderedPageBreak/>
        <w:t>W. D. Ross occupies a somewhat different place in this discussion, because his account of moral obligation is, in important ways, more faithful to the actual texture of moral experience than any of the frameworks considered so far. Rather than reducing morality to a single master principle, Ross argued for a plurality of irreducible prima facie duties: fidelity, reparation, gratitude, non-maleficence, beneficence, justice, and self-improvement, among others. None of these can be derived from any of the others, and when they conflict, there is no algorithm for determining which takes precedence. That determination requires judgment, which is to say, practical wisdom of the kind that cannot be replaced by a rule.</w:t>
      </w:r>
      <w:r>
        <w:rPr>
          <w:rFonts w:ascii="Times New Roman" w:hAnsi="Times New Roman" w:cs="Times New Roman"/>
          <w:sz w:val="22"/>
          <w:szCs w:val="22"/>
          <w:vertAlign w:val="superscript"/>
        </w:rPr>
        <w:t>9</w:t>
      </w:r>
    </w:p>
    <w:p w14:paraId="44CA2D6D" w14:textId="77777777" w:rsidR="0036118E" w:rsidRPr="00850CC8" w:rsidRDefault="0036118E" w:rsidP="00850CC8">
      <w:pPr>
        <w:spacing w:line="276" w:lineRule="auto"/>
        <w:rPr>
          <w:rFonts w:ascii="Times New Roman" w:hAnsi="Times New Roman" w:cs="Times New Roman"/>
          <w:sz w:val="22"/>
          <w:szCs w:val="22"/>
        </w:rPr>
      </w:pPr>
    </w:p>
    <w:p w14:paraId="1B3D904F" w14:textId="77777777" w:rsidR="0036118E" w:rsidRPr="00850CC8" w:rsidRDefault="0036118E"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This is a real advance because it acknowledges the complexity that the single-principle theories suppress. Moral life is, in fact, characterized by the kind of plural and sometimes conflicting obligations that Ross describes. We do owe fidelity to our promises and reparation for our wrongs, and these duties do sometimes pull in different directions, and resolving the conflict does require the kind of judgment that Ross was honest enough to say no theory can replace.</w:t>
      </w:r>
    </w:p>
    <w:p w14:paraId="23D5D4C8" w14:textId="77777777" w:rsidR="0036118E" w:rsidRPr="00850CC8" w:rsidRDefault="0036118E" w:rsidP="00850CC8">
      <w:pPr>
        <w:spacing w:line="276" w:lineRule="auto"/>
        <w:rPr>
          <w:rFonts w:ascii="Times New Roman" w:hAnsi="Times New Roman" w:cs="Times New Roman"/>
          <w:sz w:val="22"/>
          <w:szCs w:val="22"/>
        </w:rPr>
      </w:pPr>
    </w:p>
    <w:p w14:paraId="5D50CB54" w14:textId="77777777" w:rsidR="0036118E" w:rsidRPr="00850CC8" w:rsidRDefault="0036118E"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The remaining question for Ross’s account concerns the source of the duties he identifies. He treats them as self-evident to careful reflection, as features of the moral landscape that any thoughtful person will recognize upon attending to them. This may be right as far as it goes. But it leaves open the question of why these duties exist at all, what they ultimately rest on, and whether the list is complete. If the prima facie duties cannot be derived from one another and cannot be derived from a more fundamental principle, where do they come from? Ross’s framework is hospitable to a deeper grounding that he himself did not provide.</w:t>
      </w:r>
      <w:r>
        <w:rPr>
          <w:rFonts w:ascii="Times New Roman" w:hAnsi="Times New Roman" w:cs="Times New Roman"/>
          <w:sz w:val="22"/>
          <w:szCs w:val="22"/>
          <w:vertAlign w:val="superscript"/>
        </w:rPr>
        <w:t>10</w:t>
      </w:r>
    </w:p>
    <w:p w14:paraId="7F954B13" w14:textId="77777777" w:rsidR="0036118E" w:rsidRPr="00850CC8" w:rsidRDefault="0036118E" w:rsidP="00850CC8">
      <w:pPr>
        <w:spacing w:line="276" w:lineRule="auto"/>
        <w:rPr>
          <w:rFonts w:ascii="Times New Roman" w:hAnsi="Times New Roman" w:cs="Times New Roman"/>
          <w:sz w:val="22"/>
          <w:szCs w:val="22"/>
        </w:rPr>
      </w:pPr>
    </w:p>
    <w:p w14:paraId="1D6E17E2" w14:textId="77777777" w:rsidR="0036118E" w:rsidRPr="00850CC8" w:rsidRDefault="0036118E" w:rsidP="00850CC8">
      <w:pPr>
        <w:spacing w:before="480" w:after="240" w:line="276" w:lineRule="auto"/>
        <w:rPr>
          <w:rFonts w:ascii="Times New Roman" w:hAnsi="Times New Roman" w:cs="Times New Roman"/>
          <w:sz w:val="22"/>
          <w:szCs w:val="22"/>
        </w:rPr>
      </w:pPr>
      <w:r>
        <w:rPr>
          <w:rFonts w:ascii="Times New Roman" w:hAnsi="Times New Roman" w:cs="Times New Roman"/>
          <w:b/>
          <w:bCs/>
          <w:sz w:val="22"/>
          <w:szCs w:val="22"/>
        </w:rPr>
        <w:t>The Evolutionary Challenge: A More Radical Objection</w:t>
      </w:r>
    </w:p>
    <w:p w14:paraId="2396F5DF" w14:textId="77777777" w:rsidR="0036118E" w:rsidRPr="00850CC8" w:rsidRDefault="0036118E" w:rsidP="00850CC8">
      <w:pPr>
        <w:spacing w:line="276" w:lineRule="auto"/>
        <w:jc w:val="both"/>
        <w:rPr>
          <w:rFonts w:ascii="Times New Roman" w:hAnsi="Times New Roman" w:cs="Times New Roman"/>
          <w:sz w:val="22"/>
          <w:szCs w:val="22"/>
        </w:rPr>
      </w:pPr>
      <w:r>
        <w:rPr>
          <w:rFonts w:ascii="Times New Roman" w:hAnsi="Times New Roman" w:cs="Times New Roman"/>
          <w:sz w:val="22"/>
          <w:szCs w:val="22"/>
        </w:rPr>
        <w:t>The frameworks considered so far share an assumption that is worth making explicit before proceeding. Utilitarians, Kantians, contractarians, and pluralists like Ross disagree, sometimes profoundly, about what morality requires and where its authority comes from. But they all presuppose that moral inquiry is a serious enterprise: that there is something real to be tracked when we reason about what is right and what is wrong, that the effort to think more clearly about ethics is not simply an exercise in self-deception or a more sophisticated form of preference-reporting.</w:t>
      </w:r>
    </w:p>
    <w:p w14:paraId="71632B66" w14:textId="77777777" w:rsidR="0036118E" w:rsidRPr="00850CC8" w:rsidRDefault="0036118E" w:rsidP="00850CC8">
      <w:pPr>
        <w:spacing w:line="276" w:lineRule="auto"/>
        <w:rPr>
          <w:rFonts w:ascii="Times New Roman" w:hAnsi="Times New Roman" w:cs="Times New Roman"/>
          <w:sz w:val="22"/>
          <w:szCs w:val="22"/>
        </w:rPr>
      </w:pPr>
    </w:p>
    <w:p w14:paraId="0484DB86" w14:textId="77777777" w:rsidR="0036118E" w:rsidRPr="00850CC8" w:rsidRDefault="0036118E"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That presupposition is precisely what evolutionary naturalism challenges. On the account associated with the philosopher Sharon Street, the moral intuitions that serve as evidence in all the frameworks above are not windows onto moral reality. They are the residue of natural selection operating on social animals. The evaluative attitudes human beings find themselves with, the sense that suffering is bad, that fairness matters, that loyalty to one’s own carries special weight, exist because organisms with those attitudes tend to survive and reproduce. Natural selection, Street argues, is not sensitive to moral truth. It is sensitive to reproductive fitness. If our moral faculties were shaped by selection pressure rather than by the tracking of independent moral facts, then those faculties are not reliable guides to moral reality. They are adaptive mechanisms whose reliability is hostage to a process that cares nothing for truth.</w:t>
      </w:r>
      <w:r>
        <w:rPr>
          <w:rFonts w:ascii="Times New Roman" w:hAnsi="Times New Roman" w:cs="Times New Roman"/>
          <w:sz w:val="22"/>
          <w:szCs w:val="22"/>
          <w:vertAlign w:val="superscript"/>
        </w:rPr>
        <w:t>11</w:t>
      </w:r>
    </w:p>
    <w:p w14:paraId="77E653B5" w14:textId="77777777" w:rsidR="0036118E" w:rsidRPr="00850CC8" w:rsidRDefault="0036118E" w:rsidP="00850CC8">
      <w:pPr>
        <w:spacing w:line="276" w:lineRule="auto"/>
        <w:rPr>
          <w:rFonts w:ascii="Times New Roman" w:hAnsi="Times New Roman" w:cs="Times New Roman"/>
          <w:sz w:val="22"/>
          <w:szCs w:val="22"/>
        </w:rPr>
      </w:pPr>
    </w:p>
    <w:p w14:paraId="5A263127" w14:textId="77777777" w:rsidR="0036118E" w:rsidRPr="00850CC8" w:rsidRDefault="0036118E"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 xml:space="preserve">This is a more radical challenge than any of the frameworks previously discussed, because it does not compete with them on ethical terms. It does not argue that the utilitarian has miscounted consequences, or that Kant has given insufficient weight to relationships, or that Ross’s list of duties is incomplete. It </w:t>
        <w:lastRenderedPageBreak/>
        <w:t>argues that the entire enterprise of identifying moral obligations rests on a mistake: treating adaptive responses as if they were perceptions of a mind-independent moral reality. The usual moves of ethical theory, refining principles, identifying exceptions, and seeking coherence among intuitions, are, on this account, the sophisticated elaboration of a confusion.</w:t>
      </w:r>
    </w:p>
    <w:p w14:paraId="06387C50" w14:textId="77777777" w:rsidR="0036118E" w:rsidRPr="00850CC8" w:rsidRDefault="0036118E" w:rsidP="00850CC8">
      <w:pPr>
        <w:spacing w:line="276" w:lineRule="auto"/>
        <w:rPr>
          <w:rFonts w:ascii="Times New Roman" w:hAnsi="Times New Roman" w:cs="Times New Roman"/>
          <w:sz w:val="22"/>
          <w:szCs w:val="22"/>
        </w:rPr>
      </w:pPr>
    </w:p>
    <w:p w14:paraId="4005C60E" w14:textId="77777777" w:rsidR="0036118E" w:rsidRPr="00850CC8" w:rsidRDefault="0036118E"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There is a real difficulty in this challenge, and dismissing it quickly would be a mistake. Human moral psychology does bear the marks of evolutionary history. The pattern of obligations that moral philosophy has struggled to systematize, stronger duties to those near than to those far, heightened sensitivity to the suffering of those entrusted to our care, in-group loyalty as a foundational moral intuition, corresponds remarkably well to what one would expect if moral psychology had been shaped by kin selection and reciprocal altruism. Evolutionary naturalism is quite good at explaining why we feel what we feel about those who stand close to us. It offers, in that limited territory, a real account.</w:t>
      </w:r>
    </w:p>
    <w:p w14:paraId="388BDB62" w14:textId="77777777" w:rsidR="0036118E" w:rsidRPr="00850CC8" w:rsidRDefault="0036118E" w:rsidP="00850CC8">
      <w:pPr>
        <w:spacing w:line="276" w:lineRule="auto"/>
        <w:rPr>
          <w:rFonts w:ascii="Times New Roman" w:hAnsi="Times New Roman" w:cs="Times New Roman"/>
          <w:sz w:val="22"/>
          <w:szCs w:val="22"/>
        </w:rPr>
      </w:pPr>
    </w:p>
    <w:p w14:paraId="686BFF56" w14:textId="77777777" w:rsidR="0036118E" w:rsidRPr="00850CC8" w:rsidRDefault="0036118E"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What it cannot account for is the full range of what the moral life actually demands. The evolutionary explanation runs out precisely where the moral demand becomes most serious. Consider what is being asked of a person who faces actual enemies: those who are actively harming her, who intend her suffering, who stand outside every circle of kin, community, and reciprocal obligation. Natural selection has no account of why such a person is morally required to respond to her persecutors with anything other than whatever serves her survival. The most an evolutionary ethic can generate is a counsel of prudence: hostility toward enemies is sometimes strategically counterproductive. That is not a moral requirement. It is a calculation.</w:t>
      </w:r>
    </w:p>
    <w:p w14:paraId="122F840D" w14:textId="77777777" w:rsidR="0036118E" w:rsidRPr="00850CC8" w:rsidRDefault="0036118E" w:rsidP="00850CC8">
      <w:pPr>
        <w:spacing w:line="276" w:lineRule="auto"/>
        <w:rPr>
          <w:rFonts w:ascii="Times New Roman" w:hAnsi="Times New Roman" w:cs="Times New Roman"/>
          <w:sz w:val="22"/>
          <w:szCs w:val="22"/>
        </w:rPr>
      </w:pPr>
    </w:p>
    <w:p w14:paraId="43E99939" w14:textId="77777777" w:rsidR="0036118E" w:rsidRPr="00850CC8" w:rsidRDefault="0036118E"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Martin Luther King Jr.’s ethic of nonviolent love toward those actively persecuting him and his community is perhaps the most vivid case in modern history of a moral demand that exceeds what evolutionary naturalism can accommodate. King was not counseling strategic nonviolence as an adaptive response to superior force. He was articulating a moral requirement grounded in his conviction that every person, including the persecutor, bears the image of a God who loves them, and that this prior love generates an obligation to respond to hatred with a love that does not calculate its own survival. That conviction has an explanatory ground. Evolutionary naturalism does not provide it.</w:t>
      </w:r>
      <w:r>
        <w:rPr>
          <w:rFonts w:ascii="Times New Roman" w:hAnsi="Times New Roman" w:cs="Times New Roman"/>
          <w:sz w:val="22"/>
          <w:szCs w:val="22"/>
          <w:vertAlign w:val="superscript"/>
        </w:rPr>
        <w:t>12</w:t>
      </w:r>
    </w:p>
    <w:p w14:paraId="73A809E1" w14:textId="77777777" w:rsidR="0036118E" w:rsidRPr="00850CC8" w:rsidRDefault="0036118E" w:rsidP="00850CC8">
      <w:pPr>
        <w:spacing w:line="276" w:lineRule="auto"/>
        <w:rPr>
          <w:rFonts w:ascii="Times New Roman" w:hAnsi="Times New Roman" w:cs="Times New Roman"/>
          <w:sz w:val="22"/>
          <w:szCs w:val="22"/>
        </w:rPr>
      </w:pPr>
    </w:p>
    <w:p w14:paraId="108FE557" w14:textId="77777777" w:rsidR="0036118E" w:rsidRPr="00850CC8" w:rsidRDefault="0036118E"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The deeper response to the evolutionary challenge is therefore not primarily a philosophical counter-argument, though such arguments exist and deserve attention. It is a question about what kind of universe this is. If the universe is the product of a personal God who is himself constituted by the mutual self-giving of three persons, then moral reality is not a free-floating set of facts awkwardly superimposed on a physical world. It is a reflection of the character of the One who made the world and made us. The moral intuitions that evolutionary naturalism correctly notes are adaptive because they dimly track the relational structure of a moral universe whose ground is personal. Natural selection did not create the moral reality it tracked. It tracked, imperfectly and partially, what was already there.</w:t>
      </w:r>
      <w:r>
        <w:rPr>
          <w:rFonts w:ascii="Times New Roman" w:hAnsi="Times New Roman" w:cs="Times New Roman"/>
          <w:sz w:val="22"/>
          <w:szCs w:val="22"/>
          <w:vertAlign w:val="superscript"/>
        </w:rPr>
        <w:t>13</w:t>
      </w:r>
    </w:p>
    <w:p w14:paraId="7B5E03F5" w14:textId="77777777" w:rsidR="0036118E" w:rsidRPr="00850CC8" w:rsidRDefault="0036118E" w:rsidP="00850CC8">
      <w:pPr>
        <w:spacing w:line="276" w:lineRule="auto"/>
        <w:rPr>
          <w:rFonts w:ascii="Times New Roman" w:hAnsi="Times New Roman" w:cs="Times New Roman"/>
          <w:sz w:val="22"/>
          <w:szCs w:val="22"/>
        </w:rPr>
      </w:pPr>
    </w:p>
    <w:p w14:paraId="60CAC789" w14:textId="77777777" w:rsidR="0036118E" w:rsidRPr="00850CC8" w:rsidRDefault="0036118E"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This is not to say that every moral intuition is reliable, or that evolutionary history has left our moral faculties undistorted. The point is more modest: the existence of moral intuitions shaped by evolution does not settle the question of whether there is moral reality for them to track, and the question of what that reality is remains open in a way that evolutionary naturalism assumes it does not. The framework developed in the chapters that follow is an attempt to answer that open question.</w:t>
      </w:r>
    </w:p>
    <w:p w14:paraId="5E55C496" w14:textId="77777777" w:rsidR="0036118E" w:rsidRPr="00850CC8" w:rsidRDefault="0036118E" w:rsidP="00850CC8">
      <w:pPr>
        <w:spacing w:line="276" w:lineRule="auto"/>
        <w:rPr>
          <w:rFonts w:ascii="Times New Roman" w:hAnsi="Times New Roman" w:cs="Times New Roman"/>
          <w:sz w:val="22"/>
          <w:szCs w:val="22"/>
        </w:rPr>
      </w:pPr>
    </w:p>
    <w:p w14:paraId="1B6384F6" w14:textId="77777777" w:rsidR="0036118E" w:rsidRPr="00850CC8" w:rsidRDefault="0036118E" w:rsidP="00850CC8">
      <w:pPr>
        <w:spacing w:before="480" w:after="240" w:line="276" w:lineRule="auto"/>
        <w:rPr>
          <w:rFonts w:ascii="Times New Roman" w:hAnsi="Times New Roman" w:cs="Times New Roman"/>
          <w:sz w:val="22"/>
          <w:szCs w:val="22"/>
        </w:rPr>
      </w:pPr>
      <w:r>
        <w:rPr>
          <w:rFonts w:ascii="Times New Roman" w:hAnsi="Times New Roman" w:cs="Times New Roman"/>
          <w:b/>
          <w:bCs/>
          <w:sz w:val="22"/>
          <w:szCs w:val="22"/>
        </w:rPr>
        <w:t>What the Critics from Within Have Seen</w:t>
      </w:r>
    </w:p>
    <w:p w14:paraId="53F09C5F" w14:textId="77777777" w:rsidR="0036118E" w:rsidRPr="00850CC8" w:rsidRDefault="0036118E" w:rsidP="00850CC8">
      <w:pPr>
        <w:spacing w:line="276" w:lineRule="auto"/>
        <w:jc w:val="both"/>
        <w:rPr>
          <w:rFonts w:ascii="Times New Roman" w:hAnsi="Times New Roman" w:cs="Times New Roman"/>
          <w:sz w:val="22"/>
          <w:szCs w:val="22"/>
        </w:rPr>
      </w:pPr>
      <w:r>
        <w:rPr>
          <w:rFonts w:ascii="Times New Roman" w:hAnsi="Times New Roman" w:cs="Times New Roman"/>
          <w:sz w:val="22"/>
          <w:szCs w:val="22"/>
        </w:rPr>
        <w:t>The most instructive voices for the argument of this book are not those who built the major frameworks but those who, working from within the tradition of moral philosophy, noticed that something was being left out. Several of these deserve particular attention.</w:t>
      </w:r>
    </w:p>
    <w:p w14:paraId="50ABBB88" w14:textId="77777777" w:rsidR="0036118E" w:rsidRPr="00850CC8" w:rsidRDefault="0036118E" w:rsidP="00850CC8">
      <w:pPr>
        <w:spacing w:line="276" w:lineRule="auto"/>
        <w:rPr>
          <w:rFonts w:ascii="Times New Roman" w:hAnsi="Times New Roman" w:cs="Times New Roman"/>
          <w:sz w:val="22"/>
          <w:szCs w:val="22"/>
        </w:rPr>
      </w:pPr>
    </w:p>
    <w:p w14:paraId="67463422" w14:textId="77777777" w:rsidR="0036118E" w:rsidRPr="00850CC8" w:rsidRDefault="0036118E"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Iris Murdoch argued that moral philosophy had, in its preoccupation with choice and decision, neglected the prior question of moral vision: the capacity to perceive a situation clearly for what it is. Right action, on her account, is less the product of correct reasoning than of correct seeing, and correct seeing requires a kind of attentive love, a willingness to set aside the self’s anxious preoccupations and attend to the reality of the other. Moral life is, at its core, a matter of character and perception before it is a matter of decision and rule-following.</w:t>
      </w:r>
      <w:r>
        <w:rPr>
          <w:rFonts w:ascii="Times New Roman" w:hAnsi="Times New Roman" w:cs="Times New Roman"/>
          <w:sz w:val="22"/>
          <w:szCs w:val="22"/>
          <w:vertAlign w:val="superscript"/>
        </w:rPr>
        <w:t>14</w:t>
      </w:r>
    </w:p>
    <w:p w14:paraId="0B4AF37E" w14:textId="77777777" w:rsidR="0036118E" w:rsidRPr="00850CC8" w:rsidRDefault="0036118E" w:rsidP="00850CC8">
      <w:pPr>
        <w:spacing w:line="276" w:lineRule="auto"/>
        <w:rPr>
          <w:rFonts w:ascii="Times New Roman" w:hAnsi="Times New Roman" w:cs="Times New Roman"/>
          <w:sz w:val="22"/>
          <w:szCs w:val="22"/>
        </w:rPr>
      </w:pPr>
    </w:p>
    <w:p w14:paraId="556BD4E8" w14:textId="77777777" w:rsidR="0036118E" w:rsidRPr="00850CC8" w:rsidRDefault="0036118E"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Carol Gilligan’s research in developmental psychology introduced a different kind of challenge. Using Kohlberg’s scale of moral development, she observed that women in her studies tended to reason about moral problems in terms of relationships, care, and responsibility to particular others, rather than in terms of abstract principles and rights. Kohlberg’s framework had treated this as evidence of a less developed moral sensibility. Gilligan’s question was whether that assessment reflected an actual developmental hierarchy or a prior theoretical decision to treat the individualist, rights-based mode of reasoning as the norm.</w:t>
      </w:r>
      <w:r>
        <w:rPr>
          <w:rFonts w:ascii="Times New Roman" w:hAnsi="Times New Roman" w:cs="Times New Roman"/>
          <w:sz w:val="22"/>
          <w:szCs w:val="22"/>
          <w:vertAlign w:val="superscript"/>
        </w:rPr>
        <w:t>15</w:t>
      </w:r>
    </w:p>
    <w:p w14:paraId="24D3A199" w14:textId="77777777" w:rsidR="0036118E" w:rsidRPr="00850CC8" w:rsidRDefault="0036118E" w:rsidP="00850CC8">
      <w:pPr>
        <w:spacing w:line="276" w:lineRule="auto"/>
        <w:rPr>
          <w:rFonts w:ascii="Times New Roman" w:hAnsi="Times New Roman" w:cs="Times New Roman"/>
          <w:sz w:val="22"/>
          <w:szCs w:val="22"/>
        </w:rPr>
      </w:pPr>
    </w:p>
    <w:p w14:paraId="65EB31D6" w14:textId="77777777" w:rsidR="0036118E" w:rsidRPr="00850CC8" w:rsidRDefault="0036118E"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Her work has been extensively discussed and debated since its publication, and the empirical picture turns out to be more complex than either her original account or her critics’ responses suggested. But the question she raised proved durable: Is the individualist assumption of standard ethical theory a philosophical conclusion or an unexamined premise? The relational, care-oriented mode of moral reasoning she described is obviously no less sophisticated than the principled, impartial mode. It is differently oriented, and the difference in orientation tracks a difference in what each approach takes to be the morally basic situation.</w:t>
      </w:r>
    </w:p>
    <w:p w14:paraId="0AE3D4FC" w14:textId="77777777" w:rsidR="0036118E" w:rsidRPr="00850CC8" w:rsidRDefault="0036118E" w:rsidP="00850CC8">
      <w:pPr>
        <w:spacing w:line="276" w:lineRule="auto"/>
        <w:rPr>
          <w:rFonts w:ascii="Times New Roman" w:hAnsi="Times New Roman" w:cs="Times New Roman"/>
          <w:sz w:val="22"/>
          <w:szCs w:val="22"/>
        </w:rPr>
      </w:pPr>
    </w:p>
    <w:p w14:paraId="616E6CC9" w14:textId="77777777" w:rsidR="0036118E" w:rsidRPr="00850CC8" w:rsidRDefault="0036118E"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 xml:space="preserve">Alasdair MacIntyre’s historical argument added a dimension that neither Murdoch nor Gilligan had developed. The fragmentation of modern ethical theory, his diagnosis suggested, is not an accident but a consequence: it follows from the severance of moral reasoning from the practices, communities, and narratives within which the virtues were originally intelligible. The concept of virtue makes sense within a tradition of practice, within a community that carries that tradition, and within a narrative that gives a person’s life the kind of unity that makes asking about its overall direction meaningful. When those contexts are dissolved, the concepts inherited from them do not become more rational or more universal; they become, as MacIntyre put it, fragments of a conceptual scheme that has lost the context which gave it intelligibility. </w:t>
      </w:r>
      <w:r>
        <w:rPr>
          <w:rFonts w:ascii="Times New Roman" w:hAnsi="Times New Roman" w:cs="Times New Roman"/>
          <w:sz w:val="22"/>
          <w:szCs w:val="22"/>
          <w:vertAlign w:val="superscript"/>
        </w:rPr>
        <w:t>16</w:t>
      </w:r>
    </w:p>
    <w:p w14:paraId="64503F6C" w14:textId="77777777" w:rsidR="0036118E" w:rsidRPr="00850CC8" w:rsidRDefault="0036118E" w:rsidP="00850CC8">
      <w:pPr>
        <w:spacing w:line="276" w:lineRule="auto"/>
        <w:rPr>
          <w:rFonts w:ascii="Times New Roman" w:hAnsi="Times New Roman" w:cs="Times New Roman"/>
          <w:sz w:val="22"/>
          <w:szCs w:val="22"/>
        </w:rPr>
      </w:pPr>
    </w:p>
    <w:p w14:paraId="759DFB5B" w14:textId="77777777" w:rsidR="0036118E" w:rsidRPr="00850CC8" w:rsidRDefault="0036118E"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 xml:space="preserve">Jonathan Haidt’s empirical work in moral psychology converges on a related conclusion from a completely different direction. Cross-cultural research on moral reasoning suggests that human moral cognition is organized around multiple foundations, including care, fairness, loyalty, authority, and sanctity, </w:t>
        <w:lastRenderedPageBreak/>
        <w:t>none of which reduces to any of the others and none of which can be dismissed as a mere cultural overlay on top of a more fundamental rational core. Different cultures and individuals weigh these foundations differently, which generates the moral disagreements we observe. But the foundations themselves appear to be universal features of human moral psychology rather than arbitrary cultural constructions.</w:t>
      </w:r>
      <w:r>
        <w:rPr>
          <w:rFonts w:ascii="Times New Roman" w:hAnsi="Times New Roman" w:cs="Times New Roman"/>
          <w:sz w:val="22"/>
          <w:szCs w:val="22"/>
          <w:vertAlign w:val="superscript"/>
        </w:rPr>
        <w:t>17</w:t>
      </w:r>
    </w:p>
    <w:p w14:paraId="48C0CC31" w14:textId="77777777" w:rsidR="0036118E" w:rsidRPr="00850CC8" w:rsidRDefault="0036118E" w:rsidP="00850CC8">
      <w:pPr>
        <w:spacing w:line="276" w:lineRule="auto"/>
        <w:rPr>
          <w:rFonts w:ascii="Times New Roman" w:hAnsi="Times New Roman" w:cs="Times New Roman"/>
          <w:sz w:val="22"/>
          <w:szCs w:val="22"/>
        </w:rPr>
      </w:pPr>
    </w:p>
    <w:p w14:paraId="276650A4" w14:textId="77777777" w:rsidR="0036118E" w:rsidRPr="00850CC8" w:rsidRDefault="0036118E"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Haidt’s own conclusion from this evidence is that moral reasoning is typically a post-hoc rationalization of intuitions formed through emotional and social processes. That conclusion goes further than the evidence requires, and it leaves the normative question entirely open: even if we typically reach moral judgments before we articulate reasons for them, it does not follow that the reasons are therefore mere decoration. But the evidence itself, that moral life is organized around multiple irreducible concerns and cannot be captured by any single principle, is important. It is independent confirmation, from empirical moral psychology, of the pattern that the philosophical critics from within the tradition had also perceived. It is also worth noting that the moral foundations Haidt identifies, particularly care and fairness, closely align with what a relational account of moral reality would predict, even if Haidt himself does not draw that conclusion.</w:t>
      </w:r>
    </w:p>
    <w:p w14:paraId="1B305914" w14:textId="77777777" w:rsidR="0036118E" w:rsidRPr="00850CC8" w:rsidRDefault="0036118E" w:rsidP="00850CC8">
      <w:pPr>
        <w:spacing w:line="276" w:lineRule="auto"/>
        <w:rPr>
          <w:rFonts w:ascii="Times New Roman" w:hAnsi="Times New Roman" w:cs="Times New Roman"/>
          <w:sz w:val="22"/>
          <w:szCs w:val="22"/>
        </w:rPr>
      </w:pPr>
    </w:p>
    <w:p w14:paraId="28D62245" w14:textId="77777777" w:rsidR="0036118E" w:rsidRPr="00850CC8" w:rsidRDefault="0036118E" w:rsidP="00850CC8">
      <w:pPr>
        <w:spacing w:before="480" w:after="240" w:line="276" w:lineRule="auto"/>
        <w:rPr>
          <w:rFonts w:ascii="Times New Roman" w:hAnsi="Times New Roman" w:cs="Times New Roman"/>
          <w:sz w:val="22"/>
          <w:szCs w:val="22"/>
        </w:rPr>
      </w:pPr>
      <w:r>
        <w:rPr>
          <w:rFonts w:ascii="Times New Roman" w:hAnsi="Times New Roman" w:cs="Times New Roman"/>
          <w:b/>
          <w:bCs/>
          <w:sz w:val="22"/>
          <w:szCs w:val="22"/>
        </w:rPr>
        <w:t>The Assumption Worth Examining</w:t>
      </w:r>
    </w:p>
    <w:p w14:paraId="39ED67EA" w14:textId="77777777" w:rsidR="0036118E" w:rsidRPr="00850CC8" w:rsidRDefault="0036118E" w:rsidP="00850CC8">
      <w:pPr>
        <w:spacing w:line="276" w:lineRule="auto"/>
        <w:jc w:val="both"/>
        <w:rPr>
          <w:rFonts w:ascii="Times New Roman" w:hAnsi="Times New Roman" w:cs="Times New Roman"/>
          <w:sz w:val="22"/>
          <w:szCs w:val="22"/>
        </w:rPr>
      </w:pPr>
      <w:r>
        <w:rPr>
          <w:rFonts w:ascii="Times New Roman" w:hAnsi="Times New Roman" w:cs="Times New Roman"/>
          <w:sz w:val="22"/>
          <w:szCs w:val="22"/>
        </w:rPr>
        <w:t>What the major traditions share, despite their profound differences, is worth naming carefully. It is not a commitment to any particular moral principle. It is a prior decision about the unit of moral analysis: the assumption that the individual human being, considered as a rational agent capable of choice, is the proper starting point for ethical reasoning.</w:t>
      </w:r>
    </w:p>
    <w:p w14:paraId="63B85459" w14:textId="77777777" w:rsidR="0036118E" w:rsidRPr="00850CC8" w:rsidRDefault="0036118E" w:rsidP="00850CC8">
      <w:pPr>
        <w:spacing w:line="276" w:lineRule="auto"/>
        <w:rPr>
          <w:rFonts w:ascii="Times New Roman" w:hAnsi="Times New Roman" w:cs="Times New Roman"/>
          <w:sz w:val="22"/>
          <w:szCs w:val="22"/>
        </w:rPr>
      </w:pPr>
    </w:p>
    <w:p w14:paraId="3188BA17" w14:textId="77777777" w:rsidR="0036118E" w:rsidRPr="00850CC8" w:rsidRDefault="0036118E"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On this assumption, relationships are secondary. They may generate important obligations, but those obligations are explained by reference to the individual agents who enter into them, not by the relationships themselves. A promise binds me because I, as a rational agent, freely chose to make it. A contract obligates me because I, as a rational agent, freely consent to its terms. Even the special obligations of parenthood tend, on standard accounts, to be explained by reference to individual choices: either the choice to have a child, the voluntary assumption of a caretaking role, or some combination of the two.</w:t>
      </w:r>
      <w:r>
        <w:rPr>
          <w:rFonts w:ascii="Times New Roman" w:hAnsi="Times New Roman" w:cs="Times New Roman"/>
          <w:sz w:val="22"/>
          <w:szCs w:val="22"/>
          <w:vertAlign w:val="superscript"/>
        </w:rPr>
        <w:t>18</w:t>
      </w:r>
    </w:p>
    <w:p w14:paraId="6557E370" w14:textId="77777777" w:rsidR="0036118E" w:rsidRPr="00850CC8" w:rsidRDefault="0036118E" w:rsidP="00850CC8">
      <w:pPr>
        <w:spacing w:line="276" w:lineRule="auto"/>
        <w:rPr>
          <w:rFonts w:ascii="Times New Roman" w:hAnsi="Times New Roman" w:cs="Times New Roman"/>
          <w:sz w:val="22"/>
          <w:szCs w:val="22"/>
        </w:rPr>
      </w:pPr>
    </w:p>
    <w:p w14:paraId="77BD2CC8" w14:textId="77777777" w:rsidR="0036118E" w:rsidRPr="00850CC8" w:rsidRDefault="0036118E"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The difficulty is that this picture leaves out something that most of us, on reflection, think is morally real. I did not choose to be my parents’ child, and my obligations to them in their vulnerability do not seem to depend on whether I chose them or on any voluntary assumption of caretaking. The obligations of siblings to one another, of friends who have known each other across decades, of members of a community to its most vulnerable members: these do not seem to be fully explained by reference to the choices of individuals who happened to find themselves in these relationships. The relationships themselves carry moral weight, independent of the choices that entered them or sustained them.</w:t>
      </w:r>
    </w:p>
    <w:p w14:paraId="2F6BE07B" w14:textId="77777777" w:rsidR="0036118E" w:rsidRPr="00850CC8" w:rsidRDefault="0036118E" w:rsidP="00850CC8">
      <w:pPr>
        <w:spacing w:line="276" w:lineRule="auto"/>
        <w:rPr>
          <w:rFonts w:ascii="Times New Roman" w:hAnsi="Times New Roman" w:cs="Times New Roman"/>
          <w:sz w:val="22"/>
          <w:szCs w:val="22"/>
        </w:rPr>
      </w:pPr>
    </w:p>
    <w:p w14:paraId="588F90D8" w14:textId="77777777" w:rsidR="0036118E" w:rsidRPr="00850CC8" w:rsidRDefault="0036118E"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 xml:space="preserve">This is the observation that Samuel Scheffler’s work has suggested with some care. Special obligations to people, he argues, are not peripheral complications to be apologized for within a theory that gives impartial principles pride of place. They are among the most basic features of an ethical life, and any theory that cannot account for them is incomplete in a fundamental way. The question is not whether they </w:t>
        <w:lastRenderedPageBreak/>
        <w:t>exist but how to explain them, and Scheffler’s suggestion is that the explanation requires taking seriously the moral significance of the relationships themselves, not just the choices of the individuals within them.</w:t>
      </w:r>
      <w:r>
        <w:rPr>
          <w:rFonts w:ascii="Times New Roman" w:hAnsi="Times New Roman" w:cs="Times New Roman"/>
          <w:sz w:val="22"/>
          <w:szCs w:val="22"/>
          <w:vertAlign w:val="superscript"/>
        </w:rPr>
        <w:t>19</w:t>
      </w:r>
    </w:p>
    <w:p w14:paraId="16B49739" w14:textId="77777777" w:rsidR="0036118E" w:rsidRPr="00850CC8" w:rsidRDefault="0036118E" w:rsidP="00850CC8">
      <w:pPr>
        <w:spacing w:line="276" w:lineRule="auto"/>
        <w:rPr>
          <w:rFonts w:ascii="Times New Roman" w:hAnsi="Times New Roman" w:cs="Times New Roman"/>
          <w:sz w:val="22"/>
          <w:szCs w:val="22"/>
        </w:rPr>
      </w:pPr>
    </w:p>
    <w:p w14:paraId="291A16A3" w14:textId="77777777" w:rsidR="0036118E" w:rsidRPr="00850CC8" w:rsidRDefault="0036118E"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Where does that leave us? Not with a refutation of the individualist tradition, which has, as I have tried to show, perceived real and important truths about the moral life. It leaves us with a question: what would an ethical framework look like that began not with the isolated individual but with the person already in relation? What would change in our understanding of obligation, of justice, of what love actually requires, if we took the relational constitution of human beings as our starting point rather than as a complication to be managed?</w:t>
      </w:r>
    </w:p>
    <w:p w14:paraId="68E33624" w14:textId="77777777" w:rsidR="0036118E" w:rsidRPr="00850CC8" w:rsidRDefault="0036118E" w:rsidP="00850CC8">
      <w:pPr>
        <w:spacing w:line="276" w:lineRule="auto"/>
        <w:rPr>
          <w:rFonts w:ascii="Times New Roman" w:hAnsi="Times New Roman" w:cs="Times New Roman"/>
          <w:sz w:val="22"/>
          <w:szCs w:val="22"/>
        </w:rPr>
      </w:pPr>
    </w:p>
    <w:p w14:paraId="6FA0F57E" w14:textId="77777777" w:rsidR="0036118E" w:rsidRPr="00850CC8" w:rsidRDefault="0036118E"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That question is what this book is attempting to answer. The answer I want to suggest requires going to a depth that moral philosophy, considered on its own terms, cannot quite reach. It requires asking not just about the structure of human relationships, but about what those relationships reflect about the deepest structure of reality itself. And that question is, at bottom, a theological one.</w:t>
      </w:r>
    </w:p>
    <w:p w14:paraId="0CF6CAA1" w14:textId="77777777" w:rsidR="0036118E" w:rsidRPr="00850CC8" w:rsidRDefault="0036118E" w:rsidP="00850CC8">
      <w:pPr>
        <w:spacing w:line="276" w:lineRule="auto"/>
        <w:rPr>
          <w:rFonts w:ascii="Times New Roman" w:hAnsi="Times New Roman" w:cs="Times New Roman"/>
          <w:sz w:val="22"/>
          <w:szCs w:val="22"/>
        </w:rPr>
      </w:pPr>
    </w:p>
    <w:p w14:paraId="72C82CAC" w14:textId="77777777" w:rsidR="0036118E" w:rsidRPr="00850CC8" w:rsidRDefault="0036118E" w:rsidP="00850CC8">
      <w:pPr>
        <w:spacing w:before="480" w:after="240" w:line="276" w:lineRule="auto"/>
        <w:rPr>
          <w:rFonts w:ascii="Times New Roman" w:hAnsi="Times New Roman" w:cs="Times New Roman"/>
          <w:sz w:val="22"/>
          <w:szCs w:val="22"/>
        </w:rPr>
      </w:pPr>
      <w:r>
        <w:rPr>
          <w:rFonts w:ascii="Times New Roman" w:hAnsi="Times New Roman" w:cs="Times New Roman"/>
          <w:b/>
          <w:bCs/>
          <w:sz w:val="22"/>
          <w:szCs w:val="22"/>
        </w:rPr>
        <w:t>The Question the Moral Life Is Asking</w:t>
      </w:r>
    </w:p>
    <w:p w14:paraId="0466A671" w14:textId="77777777" w:rsidR="0036118E" w:rsidRPr="00850CC8" w:rsidRDefault="0036118E" w:rsidP="00850CC8">
      <w:pPr>
        <w:spacing w:line="276" w:lineRule="auto"/>
        <w:jc w:val="both"/>
        <w:rPr>
          <w:rFonts w:ascii="Times New Roman" w:hAnsi="Times New Roman" w:cs="Times New Roman"/>
          <w:sz w:val="22"/>
          <w:szCs w:val="22"/>
        </w:rPr>
      </w:pPr>
      <w:r>
        <w:rPr>
          <w:rFonts w:ascii="Times New Roman" w:hAnsi="Times New Roman" w:cs="Times New Roman"/>
          <w:sz w:val="22"/>
          <w:szCs w:val="22"/>
        </w:rPr>
        <w:t>There is a passage in C. S. Lewis’s early apologetic work in which he observes that the quarreling of human beings is among the most striking pieces of evidence for the reality of moral law. When people argue about who was in the right and who was in the wrong, they are not merely expressing preferences or reporting emotional reactions. They are appealing to a standard they both recognize, even when they disagree about how it applies.</w:t>
      </w:r>
      <w:r>
        <w:rPr>
          <w:rFonts w:ascii="Times New Roman" w:hAnsi="Times New Roman" w:cs="Times New Roman"/>
          <w:sz w:val="22"/>
          <w:szCs w:val="22"/>
          <w:vertAlign w:val="superscript"/>
        </w:rPr>
        <w:t>20</w:t>
      </w:r>
      <w:r>
        <w:rPr>
          <w:rFonts w:ascii="Times New Roman" w:hAnsi="Times New Roman" w:cs="Times New Roman"/>
          <w:sz w:val="22"/>
          <w:szCs w:val="22"/>
        </w:rPr>
        <w:t xml:space="preserve"> The appeal has a grammar: it is addressed to something beyond the self, something that both parties, in the act of arguing, treat as actually binding on them both.</w:t>
      </w:r>
    </w:p>
    <w:p w14:paraId="710BFC83" w14:textId="77777777" w:rsidR="0036118E" w:rsidRPr="00850CC8" w:rsidRDefault="0036118E" w:rsidP="00850CC8">
      <w:pPr>
        <w:spacing w:line="276" w:lineRule="auto"/>
        <w:rPr>
          <w:rFonts w:ascii="Times New Roman" w:hAnsi="Times New Roman" w:cs="Times New Roman"/>
          <w:sz w:val="22"/>
          <w:szCs w:val="22"/>
        </w:rPr>
      </w:pPr>
    </w:p>
    <w:p w14:paraId="73E32805" w14:textId="77777777" w:rsidR="0036118E" w:rsidRPr="00850CC8" w:rsidRDefault="0036118E"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What I want to add to Lewis’s observation is this: the standard being appealed to in most moral arguments is not only a standard of right action but a standard of right relation. The wrongs that provoke the most serious moral responses are almost always relational injuries: betrayal, abandonment, exploitation, the use of another person as a tool rather than as an end. The goods that generate the most compelling moral claims are almost always relational goods: fidelity, care, justice for the vulnerable, and the protection of those entrusted to our keeping. A moral life is, in its deepest register, a life of relation, and the standard it appeals to is, in its deepest register, a standard for how relations ought to go.</w:t>
      </w:r>
    </w:p>
    <w:p w14:paraId="6C834086" w14:textId="77777777" w:rsidR="0036118E" w:rsidRPr="00850CC8" w:rsidRDefault="0036118E" w:rsidP="00850CC8">
      <w:pPr>
        <w:spacing w:line="276" w:lineRule="auto"/>
        <w:rPr>
          <w:rFonts w:ascii="Times New Roman" w:hAnsi="Times New Roman" w:cs="Times New Roman"/>
          <w:sz w:val="22"/>
          <w:szCs w:val="22"/>
        </w:rPr>
      </w:pPr>
    </w:p>
    <w:p w14:paraId="024F4680" w14:textId="77777777" w:rsidR="0036118E" w:rsidRPr="00850CC8" w:rsidRDefault="0036118E"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This is the observation from which the rest of this book proceeds. The moral life we actually live, with its special obligations and situational demands, its insistence that justice and mercy belong together, and its intuition that the self is not negated but fulfilled in real love of the other: this moral life points toward something. What it is pointing toward, I want to argue, is the character of a God whose inner life is the original pattern of all love, and whose image we bear.</w:t>
      </w:r>
    </w:p>
    <w:p w14:paraId="36504CAE" w14:textId="77777777" w:rsidR="0036118E" w:rsidRPr="00850CC8" w:rsidRDefault="0036118E" w:rsidP="00850CC8">
      <w:pPr>
        <w:spacing w:line="276" w:lineRule="auto"/>
        <w:rPr>
          <w:rFonts w:ascii="Times New Roman" w:hAnsi="Times New Roman" w:cs="Times New Roman"/>
          <w:sz w:val="22"/>
          <w:szCs w:val="22"/>
        </w:rPr>
      </w:pPr>
    </w:p>
    <w:p w14:paraId="419A812F" w14:textId="77777777" w:rsidR="0036118E" w:rsidRPr="00850CC8" w:rsidRDefault="0036118E"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We turn, in the next chapter, to that pattern.</w:t>
      </w:r>
    </w:p>
    <w:p w14:paraId="5F5ACDFA" w14:textId="77777777" w:rsidR="0036118E" w:rsidRPr="00850CC8" w:rsidRDefault="0036118E" w:rsidP="00850CC8">
      <w:pPr>
        <w:spacing w:line="276" w:lineRule="auto"/>
        <w:rPr>
          <w:rFonts w:ascii="Times New Roman" w:hAnsi="Times New Roman" w:cs="Times New Roman"/>
          <w:sz w:val="22"/>
          <w:szCs w:val="22"/>
        </w:rPr>
      </w:pPr>
    </w:p>
    <w:p w14:paraId="399CCADC" w14:textId="77777777" w:rsidR="0036118E" w:rsidRPr="00850CC8" w:rsidRDefault="0036118E" w:rsidP="00850CC8">
      <w:pPr>
        <w:spacing w:line="276" w:lineRule="auto"/>
        <w:rPr>
          <w:rFonts w:ascii="Times New Roman" w:hAnsi="Times New Roman" w:cs="Times New Roman"/>
          <w:sz w:val="22"/>
          <w:szCs w:val="22"/>
        </w:rPr>
      </w:pPr>
    </w:p>
    <w:p w14:paraId="4F1F27FF" w14:textId="77777777" w:rsidR="0036118E" w:rsidRPr="00850CC8" w:rsidRDefault="0036118E" w:rsidP="00850CC8">
      <w:pPr>
        <w:spacing w:before="480" w:after="240" w:line="276" w:lineRule="auto"/>
        <w:rPr>
          <w:rFonts w:ascii="Times New Roman" w:hAnsi="Times New Roman" w:cs="Times New Roman"/>
          <w:sz w:val="22"/>
          <w:szCs w:val="22"/>
        </w:rPr>
      </w:pPr>
      <w:r>
        <w:rPr>
          <w:rFonts w:ascii="Times New Roman" w:hAnsi="Times New Roman" w:cs="Times New Roman"/>
          <w:b/>
          <w:bCs/>
          <w:sz w:val="22"/>
          <w:szCs w:val="22"/>
        </w:rPr>
        <w:lastRenderedPageBreak/>
        <w:t>Notes</w:t>
      </w:r>
    </w:p>
    <w:p w14:paraId="794E45D0" w14:textId="77777777" w:rsidR="0036118E" w:rsidRPr="00850CC8" w:rsidRDefault="0036118E" w:rsidP="00850CC8">
      <w:pPr>
        <w:spacing w:before="120" w:line="276" w:lineRule="auto"/>
        <w:ind w:firstLine="720"/>
        <w:jc w:val="both"/>
        <w:rPr>
          <w:rFonts w:ascii="Times New Roman" w:hAnsi="Times New Roman" w:cs="Times New Roman"/>
          <w:sz w:val="22"/>
          <w:szCs w:val="22"/>
        </w:rPr>
      </w:pPr>
      <w:r>
        <w:rPr>
          <w:rFonts w:ascii="Times New Roman" w:hAnsi="Times New Roman" w:cs="Times New Roman"/>
          <w:sz w:val="22"/>
          <w:szCs w:val="22"/>
        </w:rPr>
        <w:t xml:space="preserve">1. Romans 2:14–15. Paul’s argument that Gentiles “do by nature things required by the law” and that “the requirements of the law are written on their hearts” is the New Testament’s most explicit statement of universal moral knowledge, grounded not in the Sinai revelation but in the common humanity that the Noahic covenant establishes. The theological and exegetical dimensions of this passage are taken up in chapter six. The natural law tradition has consistently read this passage as the scriptural warrant for universal moral knowledge grounded in rational human nature; the present argument reads it as evidence of the relational </w:t>
      </w:r>
      <w:r>
        <w:rPr>
          <w:rFonts w:ascii="Times New Roman" w:hAnsi="Times New Roman" w:cs="Times New Roman"/>
          <w:i/>
          <w:iCs/>
          <w:sz w:val="22"/>
          <w:szCs w:val="22"/>
        </w:rPr>
        <w:t>imago Dei’s</w:t>
      </w:r>
      <w:r>
        <w:rPr>
          <w:rFonts w:ascii="Times New Roman" w:hAnsi="Times New Roman" w:cs="Times New Roman"/>
          <w:sz w:val="22"/>
          <w:szCs w:val="22"/>
        </w:rPr>
        <w:t xml:space="preserve"> generative moral structure, a reading developed in chapter three.</w:t>
      </w:r>
    </w:p>
    <w:p w14:paraId="4AD93725" w14:textId="77777777" w:rsidR="0036118E" w:rsidRPr="00850CC8" w:rsidRDefault="0036118E" w:rsidP="00850CC8">
      <w:pPr>
        <w:spacing w:line="276" w:lineRule="auto"/>
        <w:rPr>
          <w:rFonts w:ascii="Times New Roman" w:hAnsi="Times New Roman" w:cs="Times New Roman"/>
          <w:sz w:val="22"/>
          <w:szCs w:val="22"/>
        </w:rPr>
      </w:pPr>
    </w:p>
    <w:p w14:paraId="0A256694" w14:textId="77777777" w:rsidR="0036118E" w:rsidRPr="00850CC8" w:rsidRDefault="0036118E" w:rsidP="00850CC8">
      <w:pPr>
        <w:spacing w:before="120" w:line="276" w:lineRule="auto"/>
        <w:ind w:firstLine="720"/>
        <w:jc w:val="both"/>
        <w:rPr>
          <w:rFonts w:ascii="Times New Roman" w:hAnsi="Times New Roman" w:cs="Times New Roman"/>
          <w:sz w:val="22"/>
          <w:szCs w:val="22"/>
        </w:rPr>
      </w:pPr>
      <w:r>
        <w:rPr>
          <w:rFonts w:ascii="Times New Roman" w:hAnsi="Times New Roman" w:cs="Times New Roman"/>
          <w:sz w:val="22"/>
          <w:szCs w:val="22"/>
        </w:rPr>
        <w:t xml:space="preserve">2. Jeremy Bentham, </w:t>
      </w:r>
      <w:r>
        <w:rPr>
          <w:rFonts w:ascii="Times New Roman" w:hAnsi="Times New Roman" w:cs="Times New Roman"/>
          <w:i/>
          <w:iCs/>
          <w:sz w:val="22"/>
          <w:szCs w:val="22"/>
        </w:rPr>
        <w:t>An Introduction to the Principles of Morals and Legislation</w:t>
      </w:r>
      <w:r>
        <w:rPr>
          <w:rFonts w:ascii="Times New Roman" w:hAnsi="Times New Roman" w:cs="Times New Roman"/>
          <w:sz w:val="22"/>
          <w:szCs w:val="22"/>
        </w:rPr>
        <w:t xml:space="preserve"> (Oxford: Clarendon Press, 1907 [1789]), 1. John Stuart Mill’s refinements, particularly his distinction between higher and lower pleasures, represent an attempt to address the obvious objection that the utilitarian calculus cannot distinguish the pleasures of philosophy from those of push-pin. See Mill, </w:t>
      </w:r>
      <w:r>
        <w:rPr>
          <w:rFonts w:ascii="Times New Roman" w:hAnsi="Times New Roman" w:cs="Times New Roman"/>
          <w:i/>
          <w:iCs/>
          <w:sz w:val="22"/>
          <w:szCs w:val="22"/>
        </w:rPr>
        <w:t>Utilitarianism</w:t>
      </w:r>
      <w:r>
        <w:rPr>
          <w:rFonts w:ascii="Times New Roman" w:hAnsi="Times New Roman" w:cs="Times New Roman"/>
          <w:sz w:val="22"/>
          <w:szCs w:val="22"/>
        </w:rPr>
        <w:t xml:space="preserve"> (London: Parker, Son, and Bourn, 1863), chapter 2.</w:t>
      </w:r>
    </w:p>
    <w:p w14:paraId="57DCF0F7" w14:textId="77777777" w:rsidR="0036118E" w:rsidRPr="00850CC8" w:rsidRDefault="0036118E" w:rsidP="00850CC8">
      <w:pPr>
        <w:spacing w:line="276" w:lineRule="auto"/>
        <w:rPr>
          <w:rFonts w:ascii="Times New Roman" w:hAnsi="Times New Roman" w:cs="Times New Roman"/>
          <w:sz w:val="22"/>
          <w:szCs w:val="22"/>
        </w:rPr>
      </w:pPr>
    </w:p>
    <w:p w14:paraId="52150C38" w14:textId="77777777" w:rsidR="0036118E" w:rsidRPr="00850CC8" w:rsidRDefault="0036118E" w:rsidP="00850CC8">
      <w:pPr>
        <w:spacing w:before="120" w:line="276" w:lineRule="auto"/>
        <w:ind w:firstLine="720"/>
        <w:jc w:val="both"/>
        <w:rPr>
          <w:rFonts w:ascii="Times New Roman" w:hAnsi="Times New Roman" w:cs="Times New Roman"/>
          <w:sz w:val="22"/>
          <w:szCs w:val="22"/>
        </w:rPr>
      </w:pPr>
      <w:r>
        <w:rPr>
          <w:rFonts w:ascii="Times New Roman" w:hAnsi="Times New Roman" w:cs="Times New Roman"/>
          <w:sz w:val="22"/>
          <w:szCs w:val="22"/>
        </w:rPr>
        <w:t xml:space="preserve">3. The classic statement of the objection from rights is Robert Nozick, </w:t>
      </w:r>
      <w:r>
        <w:rPr>
          <w:rFonts w:ascii="Times New Roman" w:hAnsi="Times New Roman" w:cs="Times New Roman"/>
          <w:i/>
          <w:iCs/>
          <w:sz w:val="22"/>
          <w:szCs w:val="22"/>
        </w:rPr>
        <w:t>Anarchy, State, and Utopia</w:t>
      </w:r>
      <w:r>
        <w:rPr>
          <w:rFonts w:ascii="Times New Roman" w:hAnsi="Times New Roman" w:cs="Times New Roman"/>
          <w:sz w:val="22"/>
          <w:szCs w:val="22"/>
        </w:rPr>
        <w:t xml:space="preserve"> (New York: Basic Books, 1974), especially ix, where Nozick opens by insisting that individuals have rights, and that there are things no person or group may do to them without violating these rights. The force of the objection is that utilitarian calculation has no principled basis for treating these rights as constraints rather than as considerations to be weighed.</w:t>
      </w:r>
    </w:p>
    <w:p w14:paraId="0C82AE0B" w14:textId="77777777" w:rsidR="0036118E" w:rsidRPr="00850CC8" w:rsidRDefault="0036118E" w:rsidP="00850CC8">
      <w:pPr>
        <w:spacing w:line="276" w:lineRule="auto"/>
        <w:rPr>
          <w:rFonts w:ascii="Times New Roman" w:hAnsi="Times New Roman" w:cs="Times New Roman"/>
          <w:sz w:val="22"/>
          <w:szCs w:val="22"/>
        </w:rPr>
      </w:pPr>
    </w:p>
    <w:p w14:paraId="0C5B8C7A" w14:textId="77777777" w:rsidR="0036118E" w:rsidRPr="00850CC8" w:rsidRDefault="0036118E" w:rsidP="00850CC8">
      <w:pPr>
        <w:spacing w:before="120" w:line="276" w:lineRule="auto"/>
        <w:ind w:firstLine="720"/>
        <w:jc w:val="both"/>
        <w:rPr>
          <w:rFonts w:ascii="Times New Roman" w:hAnsi="Times New Roman" w:cs="Times New Roman"/>
          <w:sz w:val="22"/>
          <w:szCs w:val="22"/>
        </w:rPr>
      </w:pPr>
      <w:r>
        <w:rPr>
          <w:rFonts w:ascii="Times New Roman" w:hAnsi="Times New Roman" w:cs="Times New Roman"/>
          <w:sz w:val="22"/>
          <w:szCs w:val="22"/>
        </w:rPr>
        <w:t xml:space="preserve">4. Immanuel Kant, </w:t>
      </w:r>
      <w:r>
        <w:rPr>
          <w:rFonts w:ascii="Times New Roman" w:hAnsi="Times New Roman" w:cs="Times New Roman"/>
          <w:i/>
          <w:iCs/>
          <w:sz w:val="22"/>
          <w:szCs w:val="22"/>
        </w:rPr>
        <w:t>Groundwork of the Metaphysics of Morals</w:t>
      </w:r>
      <w:r>
        <w:rPr>
          <w:rFonts w:ascii="Times New Roman" w:hAnsi="Times New Roman" w:cs="Times New Roman"/>
          <w:sz w:val="22"/>
          <w:szCs w:val="22"/>
        </w:rPr>
        <w:t>, trans. Mary Gregor (Cambridge: Cambridge University Press, 1997), 4:429. The formula treating humanity as an end in itself is the second formulation of the categorical imperative. The first, requiring that one act only on maxims that can be universalized without contradiction, is the more technically famous, but the second has had the greater influence on human rights discourse and on the ethics of dignity.</w:t>
      </w:r>
    </w:p>
    <w:p w14:paraId="2F28EBCE" w14:textId="77777777" w:rsidR="0036118E" w:rsidRPr="00850CC8" w:rsidRDefault="0036118E" w:rsidP="00850CC8">
      <w:pPr>
        <w:spacing w:line="276" w:lineRule="auto"/>
        <w:rPr>
          <w:rFonts w:ascii="Times New Roman" w:hAnsi="Times New Roman" w:cs="Times New Roman"/>
          <w:sz w:val="22"/>
          <w:szCs w:val="22"/>
        </w:rPr>
      </w:pPr>
    </w:p>
    <w:p w14:paraId="4FEAFC40" w14:textId="77777777" w:rsidR="0036118E" w:rsidRPr="00850CC8" w:rsidRDefault="0036118E" w:rsidP="00850CC8">
      <w:pPr>
        <w:spacing w:before="120" w:line="276" w:lineRule="auto"/>
        <w:ind w:firstLine="720"/>
        <w:jc w:val="both"/>
        <w:rPr>
          <w:rFonts w:ascii="Times New Roman" w:hAnsi="Times New Roman" w:cs="Times New Roman"/>
          <w:sz w:val="22"/>
          <w:szCs w:val="22"/>
        </w:rPr>
      </w:pPr>
      <w:r>
        <w:rPr>
          <w:rFonts w:ascii="Times New Roman" w:hAnsi="Times New Roman" w:cs="Times New Roman"/>
          <w:sz w:val="22"/>
          <w:szCs w:val="22"/>
        </w:rPr>
        <w:t xml:space="preserve">5. The tension between Kantian universalism and the moral significance of special relationships has generated a large secondary literature. A clear statement of the problem is found in Lawrence Blum, </w:t>
      </w:r>
      <w:r>
        <w:rPr>
          <w:rFonts w:ascii="Times New Roman" w:hAnsi="Times New Roman" w:cs="Times New Roman"/>
          <w:i/>
          <w:iCs/>
          <w:sz w:val="22"/>
          <w:szCs w:val="22"/>
        </w:rPr>
        <w:t>Friendship, Altruism and Morality</w:t>
      </w:r>
      <w:r>
        <w:rPr>
          <w:rFonts w:ascii="Times New Roman" w:hAnsi="Times New Roman" w:cs="Times New Roman"/>
          <w:sz w:val="22"/>
          <w:szCs w:val="22"/>
        </w:rPr>
        <w:t xml:space="preserve"> (London: Routledge, 1980). Kant’s own treatment of friendship in the </w:t>
      </w:r>
      <w:r>
        <w:rPr>
          <w:rFonts w:ascii="Times New Roman" w:hAnsi="Times New Roman" w:cs="Times New Roman"/>
          <w:i/>
          <w:iCs/>
          <w:sz w:val="22"/>
          <w:szCs w:val="22"/>
        </w:rPr>
        <w:t>Metaphysics of Morals</w:t>
      </w:r>
      <w:r>
        <w:rPr>
          <w:rFonts w:ascii="Times New Roman" w:hAnsi="Times New Roman" w:cs="Times New Roman"/>
          <w:sz w:val="22"/>
          <w:szCs w:val="22"/>
        </w:rPr>
        <w:t xml:space="preserve"> attempts to accommodate special relationships within the universalist framework but is generally regarded as unsuccessful on its own terms.</w:t>
      </w:r>
    </w:p>
    <w:p w14:paraId="04DC08DB" w14:textId="77777777" w:rsidR="0036118E" w:rsidRPr="00850CC8" w:rsidRDefault="0036118E" w:rsidP="00850CC8">
      <w:pPr>
        <w:spacing w:line="276" w:lineRule="auto"/>
        <w:rPr>
          <w:rFonts w:ascii="Times New Roman" w:hAnsi="Times New Roman" w:cs="Times New Roman"/>
          <w:sz w:val="22"/>
          <w:szCs w:val="22"/>
        </w:rPr>
      </w:pPr>
    </w:p>
    <w:p w14:paraId="084C78BA" w14:textId="77777777" w:rsidR="0036118E" w:rsidRPr="00850CC8" w:rsidRDefault="0036118E" w:rsidP="00850CC8">
      <w:pPr>
        <w:spacing w:before="120" w:line="276" w:lineRule="auto"/>
        <w:ind w:firstLine="720"/>
        <w:jc w:val="both"/>
        <w:rPr>
          <w:rFonts w:ascii="Times New Roman" w:hAnsi="Times New Roman" w:cs="Times New Roman"/>
          <w:sz w:val="22"/>
          <w:szCs w:val="22"/>
        </w:rPr>
      </w:pPr>
      <w:r>
        <w:rPr>
          <w:rFonts w:ascii="Times New Roman" w:hAnsi="Times New Roman" w:cs="Times New Roman"/>
          <w:sz w:val="22"/>
          <w:szCs w:val="22"/>
        </w:rPr>
        <w:t xml:space="preserve">6. Bernard Williams, “Persons, Character and Morality,” in </w:t>
      </w:r>
      <w:r>
        <w:rPr>
          <w:rFonts w:ascii="Times New Roman" w:hAnsi="Times New Roman" w:cs="Times New Roman"/>
          <w:i/>
          <w:iCs/>
          <w:sz w:val="22"/>
          <w:szCs w:val="22"/>
        </w:rPr>
        <w:t>Moral Luck: Philosophical Papers 1973–1980</w:t>
      </w:r>
      <w:r>
        <w:rPr>
          <w:rFonts w:ascii="Times New Roman" w:hAnsi="Times New Roman" w:cs="Times New Roman"/>
          <w:sz w:val="22"/>
          <w:szCs w:val="22"/>
        </w:rPr>
        <w:t xml:space="preserve"> (Cambridge: Cambridge University Press, 1981), 18. Williams’s broader critique of what he calls “impartialism” in ethics, the view that morality requires setting aside one’s particular attachments in favor of the impartial standpoint, is one of the most sustained and influential challenges to both utilitarian and Kantian ethics in the latter half of the twentieth century.</w:t>
      </w:r>
    </w:p>
    <w:p w14:paraId="78C02FC3" w14:textId="77777777" w:rsidR="0036118E" w:rsidRPr="00850CC8" w:rsidRDefault="0036118E" w:rsidP="00850CC8">
      <w:pPr>
        <w:spacing w:line="276" w:lineRule="auto"/>
        <w:rPr>
          <w:rFonts w:ascii="Times New Roman" w:hAnsi="Times New Roman" w:cs="Times New Roman"/>
          <w:sz w:val="22"/>
          <w:szCs w:val="22"/>
        </w:rPr>
      </w:pPr>
    </w:p>
    <w:p w14:paraId="7FF554E1" w14:textId="77777777" w:rsidR="0036118E" w:rsidRPr="00850CC8" w:rsidRDefault="0036118E" w:rsidP="00850CC8">
      <w:pPr>
        <w:spacing w:before="120" w:line="276" w:lineRule="auto"/>
        <w:ind w:firstLine="720"/>
        <w:jc w:val="both"/>
        <w:rPr>
          <w:rFonts w:ascii="Times New Roman" w:hAnsi="Times New Roman" w:cs="Times New Roman"/>
          <w:sz w:val="22"/>
          <w:szCs w:val="22"/>
        </w:rPr>
      </w:pPr>
      <w:r>
        <w:rPr>
          <w:rFonts w:ascii="Times New Roman" w:hAnsi="Times New Roman" w:cs="Times New Roman"/>
          <w:sz w:val="22"/>
          <w:szCs w:val="22"/>
        </w:rPr>
        <w:t xml:space="preserve">7. John Rawls, </w:t>
      </w:r>
      <w:r>
        <w:rPr>
          <w:rFonts w:ascii="Times New Roman" w:hAnsi="Times New Roman" w:cs="Times New Roman"/>
          <w:i/>
          <w:iCs/>
          <w:sz w:val="22"/>
          <w:szCs w:val="22"/>
        </w:rPr>
        <w:t>A Theory of Justice</w:t>
      </w:r>
      <w:r>
        <w:rPr>
          <w:rFonts w:ascii="Times New Roman" w:hAnsi="Times New Roman" w:cs="Times New Roman"/>
          <w:sz w:val="22"/>
          <w:szCs w:val="22"/>
        </w:rPr>
        <w:t xml:space="preserve"> (Cambridge: Harvard University Press, 1971), 11–22. Rawls’s later work, particularly </w:t>
      </w:r>
      <w:r>
        <w:rPr>
          <w:rFonts w:ascii="Times New Roman" w:hAnsi="Times New Roman" w:cs="Times New Roman"/>
          <w:i/>
          <w:iCs/>
          <w:sz w:val="22"/>
          <w:szCs w:val="22"/>
        </w:rPr>
        <w:t>Political Liberalism</w:t>
      </w:r>
      <w:r>
        <w:rPr>
          <w:rFonts w:ascii="Times New Roman" w:hAnsi="Times New Roman" w:cs="Times New Roman"/>
          <w:sz w:val="22"/>
          <w:szCs w:val="22"/>
        </w:rPr>
        <w:t xml:space="preserve"> (New York: Columbia University Press, 1993), retreats from </w:t>
        <w:lastRenderedPageBreak/>
        <w:t xml:space="preserve">the metaphysical ambitions of </w:t>
      </w:r>
      <w:r>
        <w:rPr>
          <w:rFonts w:ascii="Times New Roman" w:hAnsi="Times New Roman" w:cs="Times New Roman"/>
          <w:i/>
          <w:iCs/>
          <w:sz w:val="22"/>
          <w:szCs w:val="22"/>
        </w:rPr>
        <w:t>A Theory of Justice</w:t>
      </w:r>
      <w:r>
        <w:rPr>
          <w:rFonts w:ascii="Times New Roman" w:hAnsi="Times New Roman" w:cs="Times New Roman"/>
          <w:sz w:val="22"/>
          <w:szCs w:val="22"/>
        </w:rPr>
        <w:t xml:space="preserve"> and grounds the principles of justice in an overlapping consensus among reasonable comprehensive doctrines rather than in a Kantian account of rational agency. The retreat is significant but does not resolve the difficulty about special relationships, which is structural rather than metaphysical.</w:t>
      </w:r>
    </w:p>
    <w:p w14:paraId="01C6447D" w14:textId="77777777" w:rsidR="0036118E" w:rsidRPr="00850CC8" w:rsidRDefault="0036118E" w:rsidP="00850CC8">
      <w:pPr>
        <w:spacing w:line="276" w:lineRule="auto"/>
        <w:rPr>
          <w:rFonts w:ascii="Times New Roman" w:hAnsi="Times New Roman" w:cs="Times New Roman"/>
          <w:sz w:val="22"/>
          <w:szCs w:val="22"/>
        </w:rPr>
      </w:pPr>
    </w:p>
    <w:p w14:paraId="2E3E0F8E" w14:textId="77777777" w:rsidR="0036118E" w:rsidRPr="00850CC8" w:rsidRDefault="0036118E" w:rsidP="00850CC8">
      <w:pPr>
        <w:spacing w:before="120" w:line="276" w:lineRule="auto"/>
        <w:ind w:firstLine="720"/>
        <w:jc w:val="both"/>
        <w:rPr>
          <w:rFonts w:ascii="Times New Roman" w:hAnsi="Times New Roman" w:cs="Times New Roman"/>
          <w:sz w:val="22"/>
          <w:szCs w:val="22"/>
        </w:rPr>
      </w:pPr>
      <w:r>
        <w:rPr>
          <w:rFonts w:ascii="Times New Roman" w:hAnsi="Times New Roman" w:cs="Times New Roman"/>
          <w:sz w:val="22"/>
          <w:szCs w:val="22"/>
        </w:rPr>
        <w:t xml:space="preserve">8. T. M. Scanlon, </w:t>
      </w:r>
      <w:r>
        <w:rPr>
          <w:rFonts w:ascii="Times New Roman" w:hAnsi="Times New Roman" w:cs="Times New Roman"/>
          <w:i/>
          <w:iCs/>
          <w:sz w:val="22"/>
          <w:szCs w:val="22"/>
        </w:rPr>
        <w:t>What We Owe to Each Other</w:t>
      </w:r>
      <w:r>
        <w:rPr>
          <w:rFonts w:ascii="Times New Roman" w:hAnsi="Times New Roman" w:cs="Times New Roman"/>
          <w:sz w:val="22"/>
          <w:szCs w:val="22"/>
        </w:rPr>
        <w:t xml:space="preserve"> (Cambridge: Harvard University Press, 1998). Scanlon’s version of social contract theory is particularly interesting because it grounds morality explicitly in what we owe to one another as persons in relation, rather than in what rational agents would choose under ideal conditions. This is a movement toward the relational constitution of moral obligation, though Scanlon himself does not develop the theological implications.</w:t>
      </w:r>
    </w:p>
    <w:p w14:paraId="1DE79182" w14:textId="77777777" w:rsidR="0036118E" w:rsidRPr="00850CC8" w:rsidRDefault="0036118E" w:rsidP="00850CC8">
      <w:pPr>
        <w:spacing w:line="276" w:lineRule="auto"/>
        <w:rPr>
          <w:rFonts w:ascii="Times New Roman" w:hAnsi="Times New Roman" w:cs="Times New Roman"/>
          <w:sz w:val="22"/>
          <w:szCs w:val="22"/>
        </w:rPr>
      </w:pPr>
    </w:p>
    <w:p w14:paraId="57C5E751" w14:textId="77777777" w:rsidR="0036118E" w:rsidRPr="00850CC8" w:rsidRDefault="0036118E" w:rsidP="00850CC8">
      <w:pPr>
        <w:spacing w:before="120" w:line="276" w:lineRule="auto"/>
        <w:ind w:firstLine="720"/>
        <w:jc w:val="both"/>
        <w:rPr>
          <w:rFonts w:ascii="Times New Roman" w:hAnsi="Times New Roman" w:cs="Times New Roman"/>
          <w:sz w:val="22"/>
          <w:szCs w:val="22"/>
        </w:rPr>
      </w:pPr>
      <w:r>
        <w:rPr>
          <w:rFonts w:ascii="Times New Roman" w:hAnsi="Times New Roman" w:cs="Times New Roman"/>
          <w:sz w:val="22"/>
          <w:szCs w:val="22"/>
        </w:rPr>
        <w:t xml:space="preserve">9. W. D. Ross, </w:t>
      </w:r>
      <w:r>
        <w:rPr>
          <w:rFonts w:ascii="Times New Roman" w:hAnsi="Times New Roman" w:cs="Times New Roman"/>
          <w:i/>
          <w:iCs/>
          <w:sz w:val="22"/>
          <w:szCs w:val="22"/>
        </w:rPr>
        <w:t>The Right and the Good</w:t>
      </w:r>
      <w:r>
        <w:rPr>
          <w:rFonts w:ascii="Times New Roman" w:hAnsi="Times New Roman" w:cs="Times New Roman"/>
          <w:sz w:val="22"/>
          <w:szCs w:val="22"/>
        </w:rPr>
        <w:t xml:space="preserve"> (Oxford: Clarendon Press, 1930), 18–36. Ross’s list of prima facie duties has been contested and extended by subsequent philosophers, but the basic pluralist structure of his account has proven durable. For a contemporary defense and development, see Jonathan Dancy, </w:t>
      </w:r>
      <w:r>
        <w:rPr>
          <w:rFonts w:ascii="Times New Roman" w:hAnsi="Times New Roman" w:cs="Times New Roman"/>
          <w:i/>
          <w:iCs/>
          <w:sz w:val="22"/>
          <w:szCs w:val="22"/>
        </w:rPr>
        <w:t>Ethics Without Principles</w:t>
      </w:r>
      <w:r>
        <w:rPr>
          <w:rFonts w:ascii="Times New Roman" w:hAnsi="Times New Roman" w:cs="Times New Roman"/>
          <w:sz w:val="22"/>
          <w:szCs w:val="22"/>
        </w:rPr>
        <w:t xml:space="preserve"> (Oxford: Oxford University Press, 2004), which extends Ross’s pluralism in a particularist direction.</w:t>
      </w:r>
    </w:p>
    <w:p w14:paraId="5E47E604" w14:textId="77777777" w:rsidR="0036118E" w:rsidRPr="00850CC8" w:rsidRDefault="0036118E" w:rsidP="00850CC8">
      <w:pPr>
        <w:spacing w:line="276" w:lineRule="auto"/>
        <w:rPr>
          <w:rFonts w:ascii="Times New Roman" w:hAnsi="Times New Roman" w:cs="Times New Roman"/>
          <w:sz w:val="22"/>
          <w:szCs w:val="22"/>
        </w:rPr>
      </w:pPr>
    </w:p>
    <w:p w14:paraId="07500E42" w14:textId="77777777" w:rsidR="0036118E" w:rsidRPr="00850CC8" w:rsidRDefault="0036118E" w:rsidP="00850CC8">
      <w:pPr>
        <w:spacing w:before="120" w:line="276" w:lineRule="auto"/>
        <w:ind w:firstLine="720"/>
        <w:jc w:val="both"/>
        <w:rPr>
          <w:rFonts w:ascii="Times New Roman" w:hAnsi="Times New Roman" w:cs="Times New Roman"/>
          <w:sz w:val="22"/>
          <w:szCs w:val="22"/>
        </w:rPr>
      </w:pPr>
      <w:r>
        <w:rPr>
          <w:rFonts w:ascii="Times New Roman" w:hAnsi="Times New Roman" w:cs="Times New Roman"/>
          <w:sz w:val="22"/>
          <w:szCs w:val="22"/>
        </w:rPr>
        <w:t xml:space="preserve">10. The question of grounding for Ross’s prima facie duties has been pressed by, among others, R. M. Hare, who argued that intuitionism of Ross’s kind cannot resolve real moral conflicts because it provides no meta-level principle for adjudication. See Hare, </w:t>
      </w:r>
      <w:r>
        <w:rPr>
          <w:rFonts w:ascii="Times New Roman" w:hAnsi="Times New Roman" w:cs="Times New Roman"/>
          <w:i/>
          <w:iCs/>
          <w:sz w:val="22"/>
          <w:szCs w:val="22"/>
        </w:rPr>
        <w:t>Moral Thinking: Its Levels, Method and Point</w:t>
      </w:r>
      <w:r>
        <w:rPr>
          <w:rFonts w:ascii="Times New Roman" w:hAnsi="Times New Roman" w:cs="Times New Roman"/>
          <w:sz w:val="22"/>
          <w:szCs w:val="22"/>
        </w:rPr>
        <w:t xml:space="preserve"> (Oxford: Oxford University Press, 1981), 26–29. The constructive response available within the framework developed in this book is that the prima facie duties Ross identifies are real precisely because they reflect the relational structure of a moral universe grounded in the character of God, and that their occasional conflicts are a feature of a morally complex world rather than a defect in the duties themselves.</w:t>
      </w:r>
    </w:p>
    <w:p w14:paraId="253FB58C" w14:textId="77777777" w:rsidR="0036118E" w:rsidRPr="00850CC8" w:rsidRDefault="0036118E" w:rsidP="00850CC8">
      <w:pPr>
        <w:spacing w:line="276" w:lineRule="auto"/>
        <w:rPr>
          <w:rFonts w:ascii="Times New Roman" w:hAnsi="Times New Roman" w:cs="Times New Roman"/>
          <w:sz w:val="22"/>
          <w:szCs w:val="22"/>
        </w:rPr>
      </w:pPr>
    </w:p>
    <w:p w14:paraId="18247ED9" w14:textId="77777777" w:rsidR="0036118E" w:rsidRPr="00850CC8" w:rsidRDefault="0036118E" w:rsidP="00850CC8">
      <w:pPr>
        <w:spacing w:before="120" w:line="276" w:lineRule="auto"/>
        <w:ind w:firstLine="720"/>
        <w:jc w:val="both"/>
        <w:rPr>
          <w:rFonts w:ascii="Times New Roman" w:hAnsi="Times New Roman" w:cs="Times New Roman"/>
          <w:sz w:val="22"/>
          <w:szCs w:val="22"/>
        </w:rPr>
      </w:pPr>
      <w:r>
        <w:rPr>
          <w:rFonts w:ascii="Times New Roman" w:hAnsi="Times New Roman" w:cs="Times New Roman"/>
          <w:sz w:val="22"/>
          <w:szCs w:val="22"/>
        </w:rPr>
        <w:t xml:space="preserve">11. Sharon Street, “A Darwinian Dilemma for Realist Theories of Value,” </w:t>
      </w:r>
      <w:r>
        <w:rPr>
          <w:rFonts w:ascii="Times New Roman" w:hAnsi="Times New Roman" w:cs="Times New Roman"/>
          <w:i/>
          <w:iCs/>
          <w:sz w:val="22"/>
          <w:szCs w:val="22"/>
        </w:rPr>
        <w:t>Philosophical Studies</w:t>
      </w:r>
      <w:r>
        <w:rPr>
          <w:rFonts w:ascii="Times New Roman" w:hAnsi="Times New Roman" w:cs="Times New Roman"/>
          <w:sz w:val="22"/>
          <w:szCs w:val="22"/>
        </w:rPr>
        <w:t xml:space="preserve"> 127, no. 1 (2006): 109–66. Street’s debunking argument is the most rigorous philosophical statement of the challenge: either our evaluative attitudes are connected to mind-independent moral facts (in which case natural selection, which tracks fitness rather than truth, would make their reliability a stunning coincidence), or they are not (in which case moral realism is false). For a broader survey of evolutionary approaches to ethics, see Philip Kitcher, </w:t>
      </w:r>
      <w:r>
        <w:rPr>
          <w:rFonts w:ascii="Times New Roman" w:hAnsi="Times New Roman" w:cs="Times New Roman"/>
          <w:i/>
          <w:iCs/>
          <w:sz w:val="22"/>
          <w:szCs w:val="22"/>
        </w:rPr>
        <w:t>The Ethical Project</w:t>
      </w:r>
      <w:r>
        <w:rPr>
          <w:rFonts w:ascii="Times New Roman" w:hAnsi="Times New Roman" w:cs="Times New Roman"/>
          <w:sz w:val="22"/>
          <w:szCs w:val="22"/>
        </w:rPr>
        <w:t xml:space="preserve"> (Cambridge: Harvard University Press, 2011), and Michael Ruse, </w:t>
      </w:r>
      <w:r>
        <w:rPr>
          <w:rFonts w:ascii="Times New Roman" w:hAnsi="Times New Roman" w:cs="Times New Roman"/>
          <w:i/>
          <w:iCs/>
          <w:sz w:val="22"/>
          <w:szCs w:val="22"/>
        </w:rPr>
        <w:t>Taking Darwin Seriously: A Naturalistic Approach to Philosophy</w:t>
      </w:r>
      <w:r>
        <w:rPr>
          <w:rFonts w:ascii="Times New Roman" w:hAnsi="Times New Roman" w:cs="Times New Roman"/>
          <w:sz w:val="22"/>
          <w:szCs w:val="22"/>
        </w:rPr>
        <w:t xml:space="preserve"> (Oxford: Blackwell, 1986). Ruse’s position, that morality is an illusion foisted on us by our genes, is more candid than most about the nihilist implications that follow once evolutionary naturalism is pressed to its conclusion.</w:t>
      </w:r>
    </w:p>
    <w:p w14:paraId="4B230D25" w14:textId="77777777" w:rsidR="0036118E" w:rsidRPr="00850CC8" w:rsidRDefault="0036118E" w:rsidP="00850CC8">
      <w:pPr>
        <w:spacing w:line="276" w:lineRule="auto"/>
        <w:rPr>
          <w:rFonts w:ascii="Times New Roman" w:hAnsi="Times New Roman" w:cs="Times New Roman"/>
          <w:sz w:val="22"/>
          <w:szCs w:val="22"/>
        </w:rPr>
      </w:pPr>
    </w:p>
    <w:p w14:paraId="1ABC14C4" w14:textId="77777777" w:rsidR="0036118E" w:rsidRPr="00850CC8" w:rsidRDefault="0036118E" w:rsidP="00850CC8">
      <w:pPr>
        <w:spacing w:before="120" w:line="276" w:lineRule="auto"/>
        <w:ind w:firstLine="720"/>
        <w:jc w:val="both"/>
        <w:rPr>
          <w:rFonts w:ascii="Times New Roman" w:hAnsi="Times New Roman" w:cs="Times New Roman"/>
          <w:sz w:val="22"/>
          <w:szCs w:val="22"/>
        </w:rPr>
      </w:pPr>
      <w:r>
        <w:rPr>
          <w:rFonts w:ascii="Times New Roman" w:hAnsi="Times New Roman" w:cs="Times New Roman"/>
          <w:sz w:val="22"/>
          <w:szCs w:val="22"/>
        </w:rPr>
        <w:t xml:space="preserve">12. The argument that costly, non-reciprocal love directed toward enemies constitutes the decisive empirical counterexample to evolutionary accounts of moral obligation is developed in C. S. Lewis’s discussion of “Gift-love” and “Need-love” in </w:t>
      </w:r>
      <w:r>
        <w:rPr>
          <w:rFonts w:ascii="Times New Roman" w:hAnsi="Times New Roman" w:cs="Times New Roman"/>
          <w:i/>
          <w:iCs/>
          <w:sz w:val="22"/>
          <w:szCs w:val="22"/>
        </w:rPr>
        <w:t>The Four Loves</w:t>
      </w:r>
      <w:r>
        <w:rPr>
          <w:rFonts w:ascii="Times New Roman" w:hAnsi="Times New Roman" w:cs="Times New Roman"/>
          <w:sz w:val="22"/>
          <w:szCs w:val="22"/>
        </w:rPr>
        <w:t xml:space="preserve"> (London: Geoffrey Bles, 1960), 11–14, though Lewis does not frame it in these terms. For King specifically, see Rufus Burrow Jr., </w:t>
      </w:r>
      <w:r>
        <w:rPr>
          <w:rFonts w:ascii="Times New Roman" w:hAnsi="Times New Roman" w:cs="Times New Roman"/>
          <w:i/>
          <w:iCs/>
          <w:sz w:val="22"/>
          <w:szCs w:val="22"/>
        </w:rPr>
        <w:t>God and Human Dignity: The Personalism, Theology, and Ethics of Martin Luther King, Jr.</w:t>
      </w:r>
      <w:r>
        <w:rPr>
          <w:rFonts w:ascii="Times New Roman" w:hAnsi="Times New Roman" w:cs="Times New Roman"/>
          <w:sz w:val="22"/>
          <w:szCs w:val="22"/>
        </w:rPr>
        <w:t xml:space="preserve"> (Notre Dame: University of Notre Dame Press, 2006), 156–82, where Burrow shows that King’s ethic of nonviolent love was explicitly grounded in his theistic personalism and in the conviction that the dignity of the oppressor </w:t>
        <w:lastRenderedPageBreak/>
        <w:t>as a person made in the image of God is the ground of the moral obligation, not any calculation of strategic advantage.</w:t>
      </w:r>
    </w:p>
    <w:p w14:paraId="3C757241" w14:textId="77777777" w:rsidR="0036118E" w:rsidRPr="00850CC8" w:rsidRDefault="0036118E" w:rsidP="00850CC8">
      <w:pPr>
        <w:spacing w:line="276" w:lineRule="auto"/>
        <w:rPr>
          <w:rFonts w:ascii="Times New Roman" w:hAnsi="Times New Roman" w:cs="Times New Roman"/>
          <w:sz w:val="22"/>
          <w:szCs w:val="22"/>
        </w:rPr>
      </w:pPr>
    </w:p>
    <w:p w14:paraId="00ACF34C" w14:textId="77777777" w:rsidR="0036118E" w:rsidRPr="00850CC8" w:rsidRDefault="0036118E" w:rsidP="00850CC8">
      <w:pPr>
        <w:spacing w:before="120" w:line="276" w:lineRule="auto"/>
        <w:ind w:firstLine="720"/>
        <w:jc w:val="both"/>
        <w:rPr>
          <w:rFonts w:ascii="Times New Roman" w:hAnsi="Times New Roman" w:cs="Times New Roman"/>
          <w:sz w:val="22"/>
          <w:szCs w:val="22"/>
        </w:rPr>
      </w:pPr>
      <w:r>
        <w:rPr>
          <w:rFonts w:ascii="Times New Roman" w:hAnsi="Times New Roman" w:cs="Times New Roman"/>
          <w:sz w:val="22"/>
          <w:szCs w:val="22"/>
        </w:rPr>
        <w:t xml:space="preserve">13. The theistic response to evolutionary debunking arguments is developed with philosophical rigor in C. Stephen Evans, </w:t>
      </w:r>
      <w:r>
        <w:rPr>
          <w:rFonts w:ascii="Times New Roman" w:hAnsi="Times New Roman" w:cs="Times New Roman"/>
          <w:i/>
          <w:iCs/>
          <w:sz w:val="22"/>
          <w:szCs w:val="22"/>
        </w:rPr>
        <w:t>God and Moral Obligation</w:t>
      </w:r>
      <w:r>
        <w:rPr>
          <w:rFonts w:ascii="Times New Roman" w:hAnsi="Times New Roman" w:cs="Times New Roman"/>
          <w:sz w:val="22"/>
          <w:szCs w:val="22"/>
        </w:rPr>
        <w:t xml:space="preserve"> (Oxford: Oxford University Press, 2013), 130–55, and in Alvin Plantinga’s evolutionary argument against naturalism, which presses the point that evolutionary naturalism undermines the reliability of all cognitive faculties, not only moral ones. See Plantinga, </w:t>
      </w:r>
      <w:r>
        <w:rPr>
          <w:rFonts w:ascii="Times New Roman" w:hAnsi="Times New Roman" w:cs="Times New Roman"/>
          <w:i/>
          <w:iCs/>
          <w:sz w:val="22"/>
          <w:szCs w:val="22"/>
        </w:rPr>
        <w:t>Warrant and Proper Function</w:t>
      </w:r>
      <w:r>
        <w:rPr>
          <w:rFonts w:ascii="Times New Roman" w:hAnsi="Times New Roman" w:cs="Times New Roman"/>
          <w:sz w:val="22"/>
          <w:szCs w:val="22"/>
        </w:rPr>
        <w:t xml:space="preserve"> (Oxford: Oxford University Press, 1993), 216–37. The present argument adds a specifically Trinitarian dimension: if the God whose character grounds moral reality is the same God in whose image persons are made, then the moral faculties of those persons are designed to track moral reality, and their evolutionary shaping is part of a purposive process rather than a blind one.</w:t>
      </w:r>
    </w:p>
    <w:p w14:paraId="05FE4942" w14:textId="77777777" w:rsidR="0036118E" w:rsidRPr="00850CC8" w:rsidRDefault="0036118E" w:rsidP="00850CC8">
      <w:pPr>
        <w:spacing w:line="276" w:lineRule="auto"/>
        <w:rPr>
          <w:rFonts w:ascii="Times New Roman" w:hAnsi="Times New Roman" w:cs="Times New Roman"/>
          <w:sz w:val="22"/>
          <w:szCs w:val="22"/>
        </w:rPr>
      </w:pPr>
    </w:p>
    <w:p w14:paraId="074D279F" w14:textId="77777777" w:rsidR="0036118E" w:rsidRPr="00850CC8" w:rsidRDefault="0036118E" w:rsidP="00850CC8">
      <w:pPr>
        <w:spacing w:before="120" w:line="276" w:lineRule="auto"/>
        <w:ind w:firstLine="720"/>
        <w:jc w:val="both"/>
        <w:rPr>
          <w:rFonts w:ascii="Times New Roman" w:hAnsi="Times New Roman" w:cs="Times New Roman"/>
          <w:sz w:val="22"/>
          <w:szCs w:val="22"/>
        </w:rPr>
      </w:pPr>
      <w:r>
        <w:rPr>
          <w:rFonts w:ascii="Times New Roman" w:hAnsi="Times New Roman" w:cs="Times New Roman"/>
          <w:sz w:val="22"/>
          <w:szCs w:val="22"/>
        </w:rPr>
        <w:t xml:space="preserve">14. Iris Murdoch, </w:t>
      </w:r>
      <w:r>
        <w:rPr>
          <w:rFonts w:ascii="Times New Roman" w:hAnsi="Times New Roman" w:cs="Times New Roman"/>
          <w:i/>
          <w:iCs/>
          <w:sz w:val="22"/>
          <w:szCs w:val="22"/>
        </w:rPr>
        <w:t>The Sovereignty of Good</w:t>
      </w:r>
      <w:r>
        <w:rPr>
          <w:rFonts w:ascii="Times New Roman" w:hAnsi="Times New Roman" w:cs="Times New Roman"/>
          <w:sz w:val="22"/>
          <w:szCs w:val="22"/>
        </w:rPr>
        <w:t xml:space="preserve"> (London: Routledge, 1970), 37–53. Murdoch’s concept of “moral vision” as attentive love directed toward the reality of the other, rather than toward the self’s preferences or projects, anticipates in secular philosophical language much of what this book will develop in theological terms. Her resistance to formal religious commitment did not prevent her from reaching conclusions about the moral life that are, as she acknowledged, in significant tension with the anti-realist and anti-metaphysical assumptions of much analytic philosophy.</w:t>
      </w:r>
    </w:p>
    <w:p w14:paraId="35F5B80A" w14:textId="77777777" w:rsidR="0036118E" w:rsidRPr="00850CC8" w:rsidRDefault="0036118E" w:rsidP="00850CC8">
      <w:pPr>
        <w:spacing w:line="276" w:lineRule="auto"/>
        <w:rPr>
          <w:rFonts w:ascii="Times New Roman" w:hAnsi="Times New Roman" w:cs="Times New Roman"/>
          <w:sz w:val="22"/>
          <w:szCs w:val="22"/>
        </w:rPr>
      </w:pPr>
    </w:p>
    <w:p w14:paraId="2EA237D3" w14:textId="77777777" w:rsidR="0036118E" w:rsidRPr="00850CC8" w:rsidRDefault="0036118E" w:rsidP="00850CC8">
      <w:pPr>
        <w:spacing w:before="120" w:line="276" w:lineRule="auto"/>
        <w:ind w:firstLine="720"/>
        <w:jc w:val="both"/>
        <w:rPr>
          <w:rFonts w:ascii="Times New Roman" w:hAnsi="Times New Roman" w:cs="Times New Roman"/>
          <w:sz w:val="22"/>
          <w:szCs w:val="22"/>
        </w:rPr>
      </w:pPr>
      <w:r>
        <w:rPr>
          <w:rFonts w:ascii="Times New Roman" w:hAnsi="Times New Roman" w:cs="Times New Roman"/>
          <w:sz w:val="22"/>
          <w:szCs w:val="22"/>
        </w:rPr>
        <w:t xml:space="preserve">15. Carol Gilligan, </w:t>
      </w:r>
      <w:r>
        <w:rPr>
          <w:rFonts w:ascii="Times New Roman" w:hAnsi="Times New Roman" w:cs="Times New Roman"/>
          <w:i/>
          <w:iCs/>
          <w:sz w:val="22"/>
          <w:szCs w:val="22"/>
        </w:rPr>
        <w:t>In a Different Voice: Psychological Theory and Women’s Development</w:t>
      </w:r>
      <w:r>
        <w:rPr>
          <w:rFonts w:ascii="Times New Roman" w:hAnsi="Times New Roman" w:cs="Times New Roman"/>
          <w:sz w:val="22"/>
          <w:szCs w:val="22"/>
        </w:rPr>
        <w:t xml:space="preserve"> (Cambridge: Harvard University Press, 1982), 24–63. The empirical dimensions of Gilligan’s original argument have been substantially revised and complicated by subsequent research, but the theoretical question she raised about the individualist assumptions of standard moral psychology has proven more durable than the specific empirical findings.</w:t>
      </w:r>
    </w:p>
    <w:p w14:paraId="20445DB1" w14:textId="77777777" w:rsidR="0036118E" w:rsidRPr="00850CC8" w:rsidRDefault="0036118E" w:rsidP="00850CC8">
      <w:pPr>
        <w:spacing w:line="276" w:lineRule="auto"/>
        <w:rPr>
          <w:rFonts w:ascii="Times New Roman" w:hAnsi="Times New Roman" w:cs="Times New Roman"/>
          <w:sz w:val="22"/>
          <w:szCs w:val="22"/>
        </w:rPr>
      </w:pPr>
    </w:p>
    <w:p w14:paraId="79CB0013" w14:textId="77777777" w:rsidR="0036118E" w:rsidRPr="00850CC8" w:rsidRDefault="0036118E" w:rsidP="00850CC8">
      <w:pPr>
        <w:spacing w:before="120" w:line="276" w:lineRule="auto"/>
        <w:ind w:firstLine="720"/>
        <w:jc w:val="both"/>
        <w:rPr>
          <w:rFonts w:ascii="Times New Roman" w:hAnsi="Times New Roman" w:cs="Times New Roman"/>
          <w:sz w:val="22"/>
          <w:szCs w:val="22"/>
        </w:rPr>
      </w:pPr>
      <w:r>
        <w:rPr>
          <w:rFonts w:ascii="Times New Roman" w:hAnsi="Times New Roman" w:cs="Times New Roman"/>
          <w:sz w:val="22"/>
          <w:szCs w:val="22"/>
        </w:rPr>
        <w:t xml:space="preserve">16. Alasdair MacIntyre, </w:t>
      </w:r>
      <w:r>
        <w:rPr>
          <w:rFonts w:ascii="Times New Roman" w:hAnsi="Times New Roman" w:cs="Times New Roman"/>
          <w:i/>
          <w:iCs/>
          <w:sz w:val="22"/>
          <w:szCs w:val="22"/>
        </w:rPr>
        <w:t>After Virtue: A Study in Moral Theory</w:t>
      </w:r>
      <w:r>
        <w:rPr>
          <w:rFonts w:ascii="Times New Roman" w:hAnsi="Times New Roman" w:cs="Times New Roman"/>
          <w:sz w:val="22"/>
          <w:szCs w:val="22"/>
        </w:rPr>
        <w:t>, 3rd ed. (Notre Dame: University of Notre Dame Press, 2007), 1–5. The “disquieting suggestion” with which MacIntyre opens is that modern moral discourse is the remnant of a scheme of thought whose original context has been lost, and that the interminable quality of contemporary moral disagreement is therefore not an indication that the questions are actually hard but that the conceptual resources available for addressing them are fragmented. Whether MacIntyre’s historical narrative is entirely accurate is contested; that the diagnosis of fragmentation is largely right is widely granted even by critics of his proposed remedy.</w:t>
      </w:r>
    </w:p>
    <w:p w14:paraId="7BCEE29E" w14:textId="77777777" w:rsidR="0036118E" w:rsidRPr="00850CC8" w:rsidRDefault="0036118E" w:rsidP="00850CC8">
      <w:pPr>
        <w:spacing w:line="276" w:lineRule="auto"/>
        <w:rPr>
          <w:rFonts w:ascii="Times New Roman" w:hAnsi="Times New Roman" w:cs="Times New Roman"/>
          <w:sz w:val="22"/>
          <w:szCs w:val="22"/>
        </w:rPr>
      </w:pPr>
    </w:p>
    <w:p w14:paraId="4AD8C235" w14:textId="77777777" w:rsidR="0036118E" w:rsidRPr="00850CC8" w:rsidRDefault="0036118E" w:rsidP="00850CC8">
      <w:pPr>
        <w:spacing w:before="120" w:line="276" w:lineRule="auto"/>
        <w:ind w:firstLine="720"/>
        <w:jc w:val="both"/>
        <w:rPr>
          <w:rFonts w:ascii="Times New Roman" w:hAnsi="Times New Roman" w:cs="Times New Roman"/>
          <w:sz w:val="22"/>
          <w:szCs w:val="22"/>
        </w:rPr>
      </w:pPr>
      <w:r>
        <w:rPr>
          <w:rFonts w:ascii="Times New Roman" w:hAnsi="Times New Roman" w:cs="Times New Roman"/>
          <w:sz w:val="22"/>
          <w:szCs w:val="22"/>
        </w:rPr>
        <w:t xml:space="preserve">17. Jonathan Haidt, </w:t>
      </w:r>
      <w:r>
        <w:rPr>
          <w:rFonts w:ascii="Times New Roman" w:hAnsi="Times New Roman" w:cs="Times New Roman"/>
          <w:i/>
          <w:iCs/>
          <w:sz w:val="22"/>
          <w:szCs w:val="22"/>
        </w:rPr>
        <w:t>The Righteous Mind: Why Good People Are Divided by Politics and Religion</w:t>
      </w:r>
      <w:r>
        <w:rPr>
          <w:rFonts w:ascii="Times New Roman" w:hAnsi="Times New Roman" w:cs="Times New Roman"/>
          <w:sz w:val="22"/>
          <w:szCs w:val="22"/>
        </w:rPr>
        <w:t xml:space="preserve"> (New York: Pantheon Books, 2012), 111–76. The moral foundations research, developed in collaboration with Jesse Graham and Craig Joseph, is summarized in Jesse Graham et al., “Moral Foundations Theory: The Pragmatic Validity of Moral Pluralism,” </w:t>
      </w:r>
      <w:r>
        <w:rPr>
          <w:rFonts w:ascii="Times New Roman" w:hAnsi="Times New Roman" w:cs="Times New Roman"/>
          <w:i/>
          <w:iCs/>
          <w:sz w:val="22"/>
          <w:szCs w:val="22"/>
        </w:rPr>
        <w:t>Advances in Experimental Social Psychology</w:t>
      </w:r>
      <w:r>
        <w:rPr>
          <w:rFonts w:ascii="Times New Roman" w:hAnsi="Times New Roman" w:cs="Times New Roman"/>
          <w:sz w:val="22"/>
          <w:szCs w:val="22"/>
        </w:rPr>
        <w:t xml:space="preserve"> 47 (2013): 55–130. Haidt’s intuitionist conclusions about moral reasoning are challenged by, among others, Peter Railton, whose work on moral learning suggests that moral intuitions can be revised by reasoning in ways that Haidt’s account underestimates.</w:t>
      </w:r>
    </w:p>
    <w:p w14:paraId="789F3A00" w14:textId="77777777" w:rsidR="0036118E" w:rsidRPr="00850CC8" w:rsidRDefault="0036118E" w:rsidP="00850CC8">
      <w:pPr>
        <w:spacing w:line="276" w:lineRule="auto"/>
        <w:rPr>
          <w:rFonts w:ascii="Times New Roman" w:hAnsi="Times New Roman" w:cs="Times New Roman"/>
          <w:sz w:val="22"/>
          <w:szCs w:val="22"/>
        </w:rPr>
      </w:pPr>
    </w:p>
    <w:p w14:paraId="0F810E89" w14:textId="77777777" w:rsidR="0036118E" w:rsidRPr="00850CC8" w:rsidRDefault="0036118E" w:rsidP="00850CC8">
      <w:pPr>
        <w:spacing w:before="120" w:line="276" w:lineRule="auto"/>
        <w:ind w:firstLine="720"/>
        <w:jc w:val="both"/>
        <w:rPr>
          <w:rFonts w:ascii="Times New Roman" w:hAnsi="Times New Roman" w:cs="Times New Roman"/>
          <w:sz w:val="22"/>
          <w:szCs w:val="22"/>
        </w:rPr>
      </w:pPr>
      <w:r>
        <w:rPr>
          <w:rFonts w:ascii="Times New Roman" w:hAnsi="Times New Roman" w:cs="Times New Roman"/>
          <w:sz w:val="22"/>
          <w:szCs w:val="22"/>
        </w:rPr>
        <w:lastRenderedPageBreak/>
        <w:t xml:space="preserve">18. The attempt to ground special obligations in voluntary choice faces particular difficulty with the obligations of adult children to aging parents, since the relevant relationship was not chosen by the child. For the range of proposed solutions and their difficulties, see Jane English, “What Do Grown Children Owe Their Parents?” in </w:t>
      </w:r>
      <w:r>
        <w:rPr>
          <w:rFonts w:ascii="Times New Roman" w:hAnsi="Times New Roman" w:cs="Times New Roman"/>
          <w:i/>
          <w:iCs/>
          <w:sz w:val="22"/>
          <w:szCs w:val="22"/>
        </w:rPr>
        <w:t>Having Children: Philosophical and Legal Reflections on Parenthood</w:t>
      </w:r>
      <w:r>
        <w:rPr>
          <w:rFonts w:ascii="Times New Roman" w:hAnsi="Times New Roman" w:cs="Times New Roman"/>
          <w:sz w:val="22"/>
          <w:szCs w:val="22"/>
        </w:rPr>
        <w:t>, ed. Onora O’Neill and William Ruddick (New York: Oxford University Press, 1979), 351–56, and the responses it has generated.</w:t>
      </w:r>
    </w:p>
    <w:p w14:paraId="65174D0C" w14:textId="77777777" w:rsidR="0036118E" w:rsidRPr="00850CC8" w:rsidRDefault="0036118E" w:rsidP="00850CC8">
      <w:pPr>
        <w:spacing w:line="276" w:lineRule="auto"/>
        <w:rPr>
          <w:rFonts w:ascii="Times New Roman" w:hAnsi="Times New Roman" w:cs="Times New Roman"/>
          <w:sz w:val="22"/>
          <w:szCs w:val="22"/>
        </w:rPr>
      </w:pPr>
    </w:p>
    <w:p w14:paraId="49F3B6CD" w14:textId="77777777" w:rsidR="0036118E" w:rsidRPr="00850CC8" w:rsidRDefault="0036118E" w:rsidP="00850CC8">
      <w:pPr>
        <w:spacing w:before="120" w:line="276" w:lineRule="auto"/>
        <w:ind w:firstLine="720"/>
        <w:jc w:val="both"/>
        <w:rPr>
          <w:rFonts w:ascii="Times New Roman" w:hAnsi="Times New Roman" w:cs="Times New Roman"/>
          <w:sz w:val="22"/>
          <w:szCs w:val="22"/>
        </w:rPr>
      </w:pPr>
      <w:r>
        <w:rPr>
          <w:rFonts w:ascii="Times New Roman" w:hAnsi="Times New Roman" w:cs="Times New Roman"/>
          <w:sz w:val="22"/>
          <w:szCs w:val="22"/>
        </w:rPr>
        <w:t xml:space="preserve">19. Samuel Scheffler, “Relationships and Responsibilities,” </w:t>
      </w:r>
      <w:r>
        <w:rPr>
          <w:rFonts w:ascii="Times New Roman" w:hAnsi="Times New Roman" w:cs="Times New Roman"/>
          <w:i/>
          <w:iCs/>
          <w:sz w:val="22"/>
          <w:szCs w:val="22"/>
        </w:rPr>
        <w:t>Philosophy and Public Affairs</w:t>
      </w:r>
      <w:r>
        <w:rPr>
          <w:rFonts w:ascii="Times New Roman" w:hAnsi="Times New Roman" w:cs="Times New Roman"/>
          <w:sz w:val="22"/>
          <w:szCs w:val="22"/>
        </w:rPr>
        <w:t xml:space="preserve"> 26, no. 3 (1997): 189–209. Scheffler argues here that associative obligations are real and irreducible, and that any adequate moral theory must account for them rather than explaining them away. The positive proposal in this book is that the theological grounding for such obligations lies in the relational constitution of humanity as </w:t>
      </w:r>
      <w:r>
        <w:rPr>
          <w:rFonts w:ascii="Times New Roman" w:hAnsi="Times New Roman" w:cs="Times New Roman"/>
          <w:i/>
          <w:iCs/>
          <w:sz w:val="22"/>
          <w:szCs w:val="22"/>
        </w:rPr>
        <w:t>imago Dei</w:t>
      </w:r>
      <w:r>
        <w:rPr>
          <w:rFonts w:ascii="Times New Roman" w:hAnsi="Times New Roman" w:cs="Times New Roman"/>
          <w:sz w:val="22"/>
          <w:szCs w:val="22"/>
        </w:rPr>
        <w:t>, developed in chapter three.</w:t>
      </w:r>
    </w:p>
    <w:p w14:paraId="25B8B077" w14:textId="77777777" w:rsidR="0036118E" w:rsidRPr="00850CC8" w:rsidRDefault="0036118E" w:rsidP="00850CC8">
      <w:pPr>
        <w:spacing w:line="276" w:lineRule="auto"/>
        <w:rPr>
          <w:rFonts w:ascii="Times New Roman" w:hAnsi="Times New Roman" w:cs="Times New Roman"/>
          <w:sz w:val="22"/>
          <w:szCs w:val="22"/>
        </w:rPr>
      </w:pPr>
    </w:p>
    <w:p w14:paraId="39567E7A" w14:textId="77777777" w:rsidR="0036118E" w:rsidRPr="00850CC8" w:rsidRDefault="0036118E" w:rsidP="00850CC8">
      <w:pPr>
        <w:spacing w:before="120" w:line="276" w:lineRule="auto"/>
        <w:ind w:firstLine="720"/>
        <w:jc w:val="both"/>
        <w:rPr>
          <w:rFonts w:ascii="Times New Roman" w:hAnsi="Times New Roman" w:cs="Times New Roman"/>
          <w:sz w:val="22"/>
          <w:szCs w:val="22"/>
        </w:rPr>
      </w:pPr>
      <w:r>
        <w:rPr>
          <w:rFonts w:ascii="Times New Roman" w:hAnsi="Times New Roman" w:cs="Times New Roman"/>
          <w:sz w:val="22"/>
          <w:szCs w:val="22"/>
        </w:rPr>
        <w:t xml:space="preserve">20. C. S. Lewis, </w:t>
      </w:r>
      <w:r>
        <w:rPr>
          <w:rFonts w:ascii="Times New Roman" w:hAnsi="Times New Roman" w:cs="Times New Roman"/>
          <w:i/>
          <w:iCs/>
          <w:sz w:val="22"/>
          <w:szCs w:val="22"/>
        </w:rPr>
        <w:t>Mere Christianity</w:t>
      </w:r>
      <w:r>
        <w:rPr>
          <w:rFonts w:ascii="Times New Roman" w:hAnsi="Times New Roman" w:cs="Times New Roman"/>
          <w:sz w:val="22"/>
          <w:szCs w:val="22"/>
        </w:rPr>
        <w:t xml:space="preserve"> (New York: Macmillan, 1952), 3–8. Lewis’s argument from the “law of human nature” is not a formal philosophical demonstration, and he does not claim it to be one. What it offers is a phenomenological observation about the structure of moral argument, broadly confirmed by the cross-cultural moral psychology reviewed above: that human beings characteristically appeal, in their moral arguments, to standards they treat as binding on both parties, not merely as expressive of their own preferences.</w:t>
      </w:r>
    </w:p>
    <w:p w14:paraId="2CFC2281" w14:textId="54DBDB8E" w:rsidR="00274A73" w:rsidRPr="00850CC8" w:rsidRDefault="00274A73" w:rsidP="00850CC8">
      <w:pPr>
        <w:spacing w:line="276" w:lineRule="auto"/>
        <w:rPr>
          <w:rFonts w:ascii="Times New Roman" w:hAnsi="Times New Roman" w:cs="Times New Roman"/>
          <w:sz w:val="22"/>
          <w:szCs w:val="22"/>
        </w:rPr>
      </w:pPr>
      <w:r>
        <w:rPr>
          <w:rFonts w:ascii="Times New Roman" w:hAnsi="Times New Roman" w:cs="Times New Roman"/>
          <w:sz w:val="22"/>
          <w:szCs w:val="22"/>
        </w:rPr>
        <w:br w:type="page"/>
      </w:r>
    </w:p>
    <w:p w14:paraId="4FB69AF4" w14:textId="77777777" w:rsidR="00274A73" w:rsidRPr="00850CC8" w:rsidRDefault="00274A73" w:rsidP="00850CC8">
      <w:pPr>
        <w:pStyle w:val="Heading1"/>
        <w:spacing w:line="276" w:lineRule="auto"/>
        <w:jc w:val="center"/>
        <w:rPr>
          <w:rFonts w:ascii="Times New Roman" w:hAnsi="Times New Roman" w:cs="Times New Roman"/>
          <w:color w:val="000000" w:themeColor="text1"/>
          <w:sz w:val="22"/>
          <w:szCs w:val="22"/>
        </w:rPr>
      </w:pPr>
      <w:bookmarkStart w:id="5" w:name="_Toc228335811"/>
      <w:r>
        <w:rPr>
          <w:rFonts w:ascii="Times New Roman" w:hAnsi="Times New Roman" w:cs="Times New Roman"/>
          <w:color w:val="000000" w:themeColor="text1"/>
          <w:sz w:val="22"/>
          <w:szCs w:val="22"/>
        </w:rPr>
        <w:lastRenderedPageBreak/>
        <w:t>Chapter Two</w:t>
        <w:br/>
        <w:t>The Source of All Love</w:t>
      </w:r>
      <w:bookmarkEnd w:id="5"/>
    </w:p>
    <w:p w14:paraId="2B63512B" w14:textId="77777777" w:rsidR="00274A73" w:rsidRPr="00850CC8" w:rsidRDefault="00274A73" w:rsidP="00850CC8">
      <w:pPr>
        <w:pStyle w:val="Heading1"/>
        <w:spacing w:line="276" w:lineRule="auto"/>
        <w:jc w:val="center"/>
        <w:rPr>
          <w:rFonts w:ascii="Times New Roman" w:hAnsi="Times New Roman" w:cs="Times New Roman"/>
          <w:color w:val="000000" w:themeColor="text1"/>
          <w:sz w:val="22"/>
          <w:szCs w:val="22"/>
        </w:rPr>
      </w:pPr>
    </w:p>
    <w:p w14:paraId="1C2D9FE3" w14:textId="77777777" w:rsidR="00274A73" w:rsidRPr="00850CC8" w:rsidRDefault="00274A73" w:rsidP="00850CC8">
      <w:pPr>
        <w:spacing w:line="276" w:lineRule="auto"/>
        <w:jc w:val="both"/>
        <w:rPr>
          <w:rFonts w:ascii="Times New Roman" w:hAnsi="Times New Roman" w:cs="Times New Roman"/>
          <w:sz w:val="22"/>
          <w:szCs w:val="22"/>
        </w:rPr>
      </w:pPr>
      <w:r>
        <w:rPr>
          <w:rFonts w:ascii="Times New Roman" w:hAnsi="Times New Roman" w:cs="Times New Roman"/>
          <w:sz w:val="22"/>
          <w:szCs w:val="22"/>
        </w:rPr>
        <w:t>The argument of the previous chapter ended with a question: what would an ethical framework look like that began not with the isolated individual but with the person already in relation? Before we can answer that question, we need to ask a prior one. If the relational constitution of human beings is the right starting point for moral reasoning, where does that relational constitution come from? What makes it not just a feature of how we happen to be organized but an actual reflection of how things ought to be?</w:t>
      </w:r>
    </w:p>
    <w:p w14:paraId="1D5B82F6" w14:textId="77777777" w:rsidR="00274A73" w:rsidRPr="00850CC8" w:rsidRDefault="00274A73" w:rsidP="00850CC8">
      <w:pPr>
        <w:spacing w:line="276" w:lineRule="auto"/>
        <w:rPr>
          <w:rFonts w:ascii="Times New Roman" w:hAnsi="Times New Roman" w:cs="Times New Roman"/>
          <w:sz w:val="22"/>
          <w:szCs w:val="22"/>
        </w:rPr>
      </w:pPr>
    </w:p>
    <w:p w14:paraId="5ABBD362" w14:textId="77777777" w:rsidR="00274A73" w:rsidRPr="00850CC8" w:rsidRDefault="00274A73"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The answer this book proposes is that human beings are relational because they are made in the image of a God whose inner life is constituted by relation. That claim requires some further explaining. The word “Trinity” is not found in Scripture, and the developed doctrine of the Trinity, with its precise vocabulary of persons, substance, and mutual indwelling, took several centuries of hard theological work to articulate. But the reality the doctrine describes is present from the opening pages of the biblical story, and attending to it changes how the moral life looks from the inside.</w:t>
      </w:r>
    </w:p>
    <w:p w14:paraId="72A94365" w14:textId="77777777" w:rsidR="00274A73" w:rsidRPr="00850CC8" w:rsidRDefault="00274A73" w:rsidP="00850CC8">
      <w:pPr>
        <w:spacing w:line="276" w:lineRule="auto"/>
        <w:rPr>
          <w:rFonts w:ascii="Times New Roman" w:hAnsi="Times New Roman" w:cs="Times New Roman"/>
          <w:sz w:val="22"/>
          <w:szCs w:val="22"/>
        </w:rPr>
      </w:pPr>
    </w:p>
    <w:p w14:paraId="628B7000" w14:textId="77777777" w:rsidR="00274A73" w:rsidRPr="00850CC8" w:rsidRDefault="00274A73"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This chapter is an attempt to describe that reality as clearly and honestly as I can for readers who may not have spent much time with the theology of the Trinity. It is not a defense of Trinitarian doctrine against its critics, and it is not a survey of the disputes that have occupied specialists in the field. It is an attempt to say what the inner life of God is like, as Christian theology understands it, and why that inner life is the ground rather than the decoration of the moral argument this book is developing.</w:t>
      </w:r>
    </w:p>
    <w:p w14:paraId="1A54A903" w14:textId="77777777" w:rsidR="00274A73" w:rsidRPr="00850CC8" w:rsidRDefault="00274A73" w:rsidP="00850CC8">
      <w:pPr>
        <w:spacing w:line="276" w:lineRule="auto"/>
        <w:rPr>
          <w:rFonts w:ascii="Times New Roman" w:hAnsi="Times New Roman" w:cs="Times New Roman"/>
          <w:sz w:val="22"/>
          <w:szCs w:val="22"/>
        </w:rPr>
      </w:pPr>
    </w:p>
    <w:p w14:paraId="3CE498FA" w14:textId="77777777" w:rsidR="00274A73" w:rsidRPr="00850CC8" w:rsidRDefault="00274A73" w:rsidP="00850CC8">
      <w:pPr>
        <w:spacing w:before="480" w:after="240" w:line="276" w:lineRule="auto"/>
        <w:rPr>
          <w:rFonts w:ascii="Times New Roman" w:hAnsi="Times New Roman" w:cs="Times New Roman"/>
          <w:sz w:val="22"/>
          <w:szCs w:val="22"/>
        </w:rPr>
      </w:pPr>
      <w:r>
        <w:rPr>
          <w:rFonts w:ascii="Times New Roman" w:hAnsi="Times New Roman" w:cs="Times New Roman"/>
          <w:b/>
          <w:bCs/>
          <w:sz w:val="22"/>
          <w:szCs w:val="22"/>
        </w:rPr>
        <w:t>The Grounding Problem</w:t>
      </w:r>
    </w:p>
    <w:p w14:paraId="28CD9433" w14:textId="77777777" w:rsidR="00274A73" w:rsidRPr="00850CC8" w:rsidRDefault="00274A73" w:rsidP="00850CC8">
      <w:pPr>
        <w:spacing w:line="276" w:lineRule="auto"/>
        <w:jc w:val="both"/>
        <w:rPr>
          <w:rFonts w:ascii="Times New Roman" w:hAnsi="Times New Roman" w:cs="Times New Roman"/>
          <w:sz w:val="22"/>
          <w:szCs w:val="22"/>
        </w:rPr>
      </w:pPr>
      <w:r>
        <w:rPr>
          <w:rFonts w:ascii="Times New Roman" w:hAnsi="Times New Roman" w:cs="Times New Roman"/>
          <w:sz w:val="22"/>
          <w:szCs w:val="22"/>
        </w:rPr>
        <w:t>Every ethical theory faces what philosophers call the grounding problem: not just what morality requires but why it requires it, and why anyone should take its requirements as actually binding rather than as a useful social arrangement that may be set aside when compliance becomes inconvenient. The problem is more serious than it sometimes appears in introductory ethics courses, where it can be treated as a preliminary puzzle to be dispatched before getting to the interesting questions about what we ought to do.</w:t>
      </w:r>
    </w:p>
    <w:p w14:paraId="71BB3926" w14:textId="77777777" w:rsidR="00274A73" w:rsidRPr="00850CC8" w:rsidRDefault="00274A73" w:rsidP="00850CC8">
      <w:pPr>
        <w:spacing w:line="276" w:lineRule="auto"/>
        <w:rPr>
          <w:rFonts w:ascii="Times New Roman" w:hAnsi="Times New Roman" w:cs="Times New Roman"/>
          <w:sz w:val="22"/>
          <w:szCs w:val="22"/>
        </w:rPr>
      </w:pPr>
    </w:p>
    <w:p w14:paraId="368C51BA" w14:textId="77777777" w:rsidR="00274A73" w:rsidRPr="00850CC8" w:rsidRDefault="00274A73"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If morality is a social construct, a set of rules that human communities have developed for managing competing interests and coordinating behavior, then its authority extends no further than the community that sustains it. A person who is powerful enough to defect from the arrangement without suffering consequences has, on this account, no compelling reason not to. If morality is grounded in the preferences of rational agents, then its requirements are binding only insofar as those agents have adopted the relevant preferences, and there is no principled basis for insisting that they should. If morality is simply a feature of the universe, a set of objective facts about value that exist independently of minds or purposes, then we have something like a moral law without a lawgiver, which raises its own questions about what exactly such facts are and how we could know them.</w:t>
      </w:r>
      <w:r>
        <w:rPr>
          <w:rFonts w:ascii="Times New Roman" w:hAnsi="Times New Roman" w:cs="Times New Roman"/>
          <w:sz w:val="22"/>
          <w:szCs w:val="22"/>
          <w:vertAlign w:val="superscript"/>
        </w:rPr>
        <w:t>1</w:t>
      </w:r>
    </w:p>
    <w:p w14:paraId="40282E34" w14:textId="77777777" w:rsidR="00274A73" w:rsidRPr="00850CC8" w:rsidRDefault="00274A73" w:rsidP="00850CC8">
      <w:pPr>
        <w:spacing w:line="276" w:lineRule="auto"/>
        <w:rPr>
          <w:rFonts w:ascii="Times New Roman" w:hAnsi="Times New Roman" w:cs="Times New Roman"/>
          <w:sz w:val="22"/>
          <w:szCs w:val="22"/>
        </w:rPr>
      </w:pPr>
    </w:p>
    <w:p w14:paraId="60814E5D" w14:textId="77777777" w:rsidR="00274A73" w:rsidRPr="00850CC8" w:rsidRDefault="00274A73"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lastRenderedPageBreak/>
        <w:t xml:space="preserve">Christian ethics addresses the grounding problem not by a directive but by pointing to the character of the God who made us. This is not the position that morality consists of whatever God happens to command: that route leads directly to the difficulty Plato identified in his dialogue </w:t>
      </w:r>
      <w:r>
        <w:rPr>
          <w:rFonts w:ascii="Times New Roman" w:hAnsi="Times New Roman" w:cs="Times New Roman"/>
          <w:i/>
          <w:iCs/>
          <w:sz w:val="22"/>
          <w:szCs w:val="22"/>
        </w:rPr>
        <w:t>Euthyphro</w:t>
      </w:r>
      <w:r>
        <w:rPr>
          <w:rFonts w:ascii="Times New Roman" w:hAnsi="Times New Roman" w:cs="Times New Roman"/>
          <w:sz w:val="22"/>
          <w:szCs w:val="22"/>
        </w:rPr>
        <w:t>, where Socrates pressed the question of whether the good is good because the gods love it or whether the gods love it because it is good. If goodness is constituted simply by divine command, then God could, in principle, have commanded cruelty, and cruelty would thereby have been good. Most people find that conclusion deeply unsatisfying, and rightly so.</w:t>
      </w:r>
      <w:r>
        <w:rPr>
          <w:rFonts w:ascii="Times New Roman" w:hAnsi="Times New Roman" w:cs="Times New Roman"/>
          <w:sz w:val="22"/>
          <w:szCs w:val="22"/>
          <w:vertAlign w:val="superscript"/>
        </w:rPr>
        <w:t>2</w:t>
      </w:r>
    </w:p>
    <w:p w14:paraId="5BA83EF1" w14:textId="77777777" w:rsidR="00274A73" w:rsidRPr="00850CC8" w:rsidRDefault="00274A73" w:rsidP="00850CC8">
      <w:pPr>
        <w:spacing w:line="276" w:lineRule="auto"/>
        <w:rPr>
          <w:rFonts w:ascii="Times New Roman" w:hAnsi="Times New Roman" w:cs="Times New Roman"/>
          <w:sz w:val="22"/>
          <w:szCs w:val="22"/>
        </w:rPr>
      </w:pPr>
    </w:p>
    <w:p w14:paraId="608398BD" w14:textId="77777777" w:rsidR="00274A73" w:rsidRPr="00850CC8" w:rsidRDefault="00274A73"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The alternative that Christian theology offers, developed with particular care by Robert Adams and C. Stephen Evans, is that morality is grounded not in God’s arbitrary will but in what God essentially is. God commands love because love is what he is. He commands honesty because his own nature is truth. He commands justice because justice is the shape his love takes when it encounters a world where some are vulnerable, and others are powerful. The commands are expressions of character, and the character is not something God chose or could have chosen otherwise. It is what he is.</w:t>
      </w:r>
      <w:r>
        <w:rPr>
          <w:rFonts w:ascii="Times New Roman" w:hAnsi="Times New Roman" w:cs="Times New Roman"/>
          <w:sz w:val="22"/>
          <w:szCs w:val="22"/>
          <w:vertAlign w:val="superscript"/>
        </w:rPr>
        <w:t>3</w:t>
      </w:r>
    </w:p>
    <w:p w14:paraId="338767CC" w14:textId="77777777" w:rsidR="00274A73" w:rsidRPr="00850CC8" w:rsidRDefault="00274A73" w:rsidP="00850CC8">
      <w:pPr>
        <w:spacing w:line="276" w:lineRule="auto"/>
        <w:rPr>
          <w:rFonts w:ascii="Times New Roman" w:hAnsi="Times New Roman" w:cs="Times New Roman"/>
          <w:sz w:val="22"/>
          <w:szCs w:val="22"/>
        </w:rPr>
      </w:pPr>
    </w:p>
    <w:p w14:paraId="6CA5CE7B" w14:textId="77777777" w:rsidR="00274A73" w:rsidRPr="00850CC8" w:rsidRDefault="00274A73"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The approach that Adams and Evans represent has a longer history in Christian theology than its contemporary formulation might suggest. The natural law tradition, running from Aquinas through its contemporary defenders, made a structurally similar move long before either thinker gave it its current philosophical shape. On Aquinas’s account, the moral law accessible to human reason is precisely the rational creature’s participation in the eternal law, which is nothing other than the rational ordering of all things in the mind of God. Morality is grounded in what God rationally is, not in what he arbitrarily wills, and the universality of basic moral knowledge across cultures is explained by the fact that all human beings share in this rational participation by virtue of their created nature. That is not a different address from the one Adams and Evans are pointing to. It is the same address, reached by a different route.</w:t>
      </w:r>
    </w:p>
    <w:p w14:paraId="2FEF2890" w14:textId="77777777" w:rsidR="00274A73" w:rsidRPr="00850CC8" w:rsidRDefault="00274A73" w:rsidP="00850CC8">
      <w:pPr>
        <w:spacing w:line="276" w:lineRule="auto"/>
        <w:rPr>
          <w:rFonts w:ascii="Times New Roman" w:hAnsi="Times New Roman" w:cs="Times New Roman"/>
          <w:sz w:val="22"/>
          <w:szCs w:val="22"/>
        </w:rPr>
      </w:pPr>
    </w:p>
    <w:p w14:paraId="04F3FB1A" w14:textId="77777777" w:rsidR="00274A73" w:rsidRPr="00850CC8" w:rsidRDefault="00274A73"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The natural law tradition deserves credit for getting this much right, and the present argument does not reject it. What it presses past is the question the tradition tends not to ask: what kind of God is it whose rational character grounds the moral law? If the answer is that God is a solitary rational will, however perfect and however good, the moral implications tend in one direction. If the answer is that God is, within his own eternal life, a community of persons whose very existence is constituted by mutual self-giving love, the implications tend somewhat richer. The natural law account of universal moral knowledge remains largely intact within the framework developed here. What changes is the account of why such knowledge exists, and of what the deepest grammar of moral obligation turns out to be. That is the further thing this chapter is attempting to describe.</w:t>
      </w:r>
    </w:p>
    <w:p w14:paraId="1EF4BF4F" w14:textId="77777777" w:rsidR="00274A73" w:rsidRPr="00850CC8" w:rsidRDefault="00274A73" w:rsidP="00850CC8">
      <w:pPr>
        <w:spacing w:line="276" w:lineRule="auto"/>
        <w:rPr>
          <w:rFonts w:ascii="Times New Roman" w:hAnsi="Times New Roman" w:cs="Times New Roman"/>
          <w:sz w:val="22"/>
          <w:szCs w:val="22"/>
        </w:rPr>
      </w:pPr>
    </w:p>
    <w:p w14:paraId="2E5BE948" w14:textId="77777777" w:rsidR="00274A73" w:rsidRPr="00850CC8" w:rsidRDefault="00274A73"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This already goes some distance toward resolving the grounding problem. But Christian theology has something further to offer, and it is the further thing that matters most for the ethics being developed here. The God whose character grounds all morality is not a solitary being who happens to have certain attributes. He is a community of persons in eternal, self-giving love.</w:t>
      </w:r>
    </w:p>
    <w:p w14:paraId="17112FBF" w14:textId="77777777" w:rsidR="00274A73" w:rsidRPr="00850CC8" w:rsidRDefault="00274A73" w:rsidP="00850CC8">
      <w:pPr>
        <w:spacing w:line="276" w:lineRule="auto"/>
        <w:rPr>
          <w:rFonts w:ascii="Times New Roman" w:hAnsi="Times New Roman" w:cs="Times New Roman"/>
          <w:sz w:val="22"/>
          <w:szCs w:val="22"/>
        </w:rPr>
      </w:pPr>
    </w:p>
    <w:p w14:paraId="09617BE5" w14:textId="77777777" w:rsidR="00274A73" w:rsidRPr="00850CC8" w:rsidRDefault="00274A73" w:rsidP="00850CC8">
      <w:pPr>
        <w:spacing w:before="480" w:after="240" w:line="276" w:lineRule="auto"/>
        <w:rPr>
          <w:rFonts w:ascii="Times New Roman" w:hAnsi="Times New Roman" w:cs="Times New Roman"/>
          <w:sz w:val="22"/>
          <w:szCs w:val="22"/>
        </w:rPr>
      </w:pPr>
      <w:r>
        <w:rPr>
          <w:rFonts w:ascii="Times New Roman" w:hAnsi="Times New Roman" w:cs="Times New Roman"/>
          <w:b/>
          <w:bCs/>
          <w:sz w:val="22"/>
          <w:szCs w:val="22"/>
        </w:rPr>
        <w:t>A Community of Persons</w:t>
      </w:r>
    </w:p>
    <w:p w14:paraId="7BDABAEF" w14:textId="77777777" w:rsidR="00274A73" w:rsidRPr="00850CC8" w:rsidRDefault="00274A73" w:rsidP="00850CC8">
      <w:pPr>
        <w:spacing w:line="276" w:lineRule="auto"/>
        <w:jc w:val="both"/>
        <w:rPr>
          <w:rFonts w:ascii="Times New Roman" w:hAnsi="Times New Roman" w:cs="Times New Roman"/>
          <w:sz w:val="22"/>
          <w:szCs w:val="22"/>
        </w:rPr>
      </w:pPr>
      <w:r>
        <w:rPr>
          <w:rFonts w:ascii="Times New Roman" w:hAnsi="Times New Roman" w:cs="Times New Roman"/>
          <w:sz w:val="22"/>
          <w:szCs w:val="22"/>
        </w:rPr>
        <w:lastRenderedPageBreak/>
        <w:t>The doctrine of the Trinity holds that the one God exists as three persons: Father, Son, and Holy Spirit. These are not three gods, nor are they three modes or masks adopted by a single divine actor for different purposes. They are three irreducibly distinct persons who share one divine nature, and whose distinctness is not a qualification of their unity but constitutive of it.</w:t>
      </w:r>
    </w:p>
    <w:p w14:paraId="11424C40" w14:textId="77777777" w:rsidR="00274A73" w:rsidRPr="00850CC8" w:rsidRDefault="00274A73" w:rsidP="00850CC8">
      <w:pPr>
        <w:spacing w:line="276" w:lineRule="auto"/>
        <w:rPr>
          <w:rFonts w:ascii="Times New Roman" w:hAnsi="Times New Roman" w:cs="Times New Roman"/>
          <w:sz w:val="22"/>
          <w:szCs w:val="22"/>
        </w:rPr>
      </w:pPr>
    </w:p>
    <w:p w14:paraId="3773FC9B" w14:textId="77777777" w:rsidR="00274A73" w:rsidRPr="00850CC8" w:rsidRDefault="00274A73"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This is strange enough, by ordinary standards of logic, that it is worth pausing to ask why Christian theology arrived here at all. The answer is that it was driven there by the testimony of Scripture and by the experience of Christian worship, both of which resist the tidier alternatives.</w:t>
      </w:r>
    </w:p>
    <w:p w14:paraId="77AE997A" w14:textId="77777777" w:rsidR="00274A73" w:rsidRPr="00850CC8" w:rsidRDefault="00274A73" w:rsidP="00850CC8">
      <w:pPr>
        <w:spacing w:line="276" w:lineRule="auto"/>
        <w:rPr>
          <w:rFonts w:ascii="Times New Roman" w:hAnsi="Times New Roman" w:cs="Times New Roman"/>
          <w:sz w:val="22"/>
          <w:szCs w:val="22"/>
        </w:rPr>
      </w:pPr>
    </w:p>
    <w:p w14:paraId="0042CEFE" w14:textId="77777777" w:rsidR="00274A73" w:rsidRPr="00850CC8" w:rsidRDefault="00274A73"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The Old Testament is unambiguous that there is one God, and that this God does not share his glory with others. The Shema of Deuteronomy 6:4, “Hear, O Israel: the LORD our God, the LORD is one,” is not a peripheral text but the central confession of Israelite faith. And yet the same Scriptures speak of this God in ways that suggest an inner complexity: the Word of God that is present at creation and does God’s work in the world; the Spirit of God that moves over the waters and comes upon the prophets; the figure of Wisdom that was with God at the beginning of his work.</w:t>
      </w:r>
      <w:r>
        <w:rPr>
          <w:rFonts w:ascii="Times New Roman" w:hAnsi="Times New Roman" w:cs="Times New Roman"/>
          <w:sz w:val="22"/>
          <w:szCs w:val="22"/>
          <w:vertAlign w:val="superscript"/>
        </w:rPr>
        <w:t>4</w:t>
      </w:r>
    </w:p>
    <w:p w14:paraId="1E0B8885" w14:textId="77777777" w:rsidR="00274A73" w:rsidRPr="00850CC8" w:rsidRDefault="00274A73" w:rsidP="00850CC8">
      <w:pPr>
        <w:spacing w:line="276" w:lineRule="auto"/>
        <w:rPr>
          <w:rFonts w:ascii="Times New Roman" w:hAnsi="Times New Roman" w:cs="Times New Roman"/>
          <w:sz w:val="22"/>
          <w:szCs w:val="22"/>
        </w:rPr>
      </w:pPr>
    </w:p>
    <w:p w14:paraId="3B810A2B" w14:textId="77777777" w:rsidR="00274A73" w:rsidRPr="00850CC8" w:rsidRDefault="00274A73"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The New Testament deepens this complexity. Jesus speaks of the Father as one from whom he is distinct: “The Father is greater than I” (John 14:28), and yet also as one with whom he is united at the deepest level: “I and the Father are one” (John 10:30). He prays to the Father, which implies distinction, but he also says that whoever has seen him has seen the Father, which implies identification. He promises to send the Spirit, who proceeds from the Father, to teach the disciples everything and to remind them of what Jesus has said. The Spirit is not Jesus, and Jesus is not the Father, and the Father is not the Spirit, and yet none of the three is less than fully God.</w:t>
      </w:r>
    </w:p>
    <w:p w14:paraId="606FF028" w14:textId="77777777" w:rsidR="00274A73" w:rsidRPr="00850CC8" w:rsidRDefault="00274A73" w:rsidP="00850CC8">
      <w:pPr>
        <w:spacing w:line="276" w:lineRule="auto"/>
        <w:rPr>
          <w:rFonts w:ascii="Times New Roman" w:hAnsi="Times New Roman" w:cs="Times New Roman"/>
          <w:sz w:val="22"/>
          <w:szCs w:val="22"/>
        </w:rPr>
      </w:pPr>
    </w:p>
    <w:p w14:paraId="415D14E2" w14:textId="77777777" w:rsidR="00274A73" w:rsidRPr="00850CC8" w:rsidRDefault="00274A73"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The doctrine of the Trinity is an attempt to hold all of this together without sacrificing any of it. The theological vocabulary that emerged, most fully in the fourth-century debates associated with the Council of Nicaea and the Cappadocian theologians who clarified its implications, speaks of three persons (</w:t>
      </w:r>
      <w:r>
        <w:rPr>
          <w:rFonts w:ascii="Times New Roman" w:hAnsi="Times New Roman" w:cs="Times New Roman"/>
          <w:i/>
          <w:iCs/>
          <w:sz w:val="22"/>
          <w:szCs w:val="22"/>
        </w:rPr>
        <w:t>hypostaseis</w:t>
      </w:r>
      <w:r>
        <w:rPr>
          <w:rFonts w:ascii="Times New Roman" w:hAnsi="Times New Roman" w:cs="Times New Roman"/>
          <w:sz w:val="22"/>
          <w:szCs w:val="22"/>
        </w:rPr>
        <w:t xml:space="preserve"> in Greek, </w:t>
      </w:r>
      <w:r>
        <w:rPr>
          <w:rFonts w:ascii="Times New Roman" w:hAnsi="Times New Roman" w:cs="Times New Roman"/>
          <w:i/>
          <w:iCs/>
          <w:sz w:val="22"/>
          <w:szCs w:val="22"/>
        </w:rPr>
        <w:t>personae</w:t>
      </w:r>
      <w:r>
        <w:rPr>
          <w:rFonts w:ascii="Times New Roman" w:hAnsi="Times New Roman" w:cs="Times New Roman"/>
          <w:sz w:val="22"/>
          <w:szCs w:val="22"/>
        </w:rPr>
        <w:t xml:space="preserve"> in Latin) sharing one substance (</w:t>
      </w:r>
      <w:r>
        <w:rPr>
          <w:rFonts w:ascii="Times New Roman" w:hAnsi="Times New Roman" w:cs="Times New Roman"/>
          <w:i/>
          <w:iCs/>
          <w:sz w:val="22"/>
          <w:szCs w:val="22"/>
        </w:rPr>
        <w:t>ousia</w:t>
      </w:r>
      <w:r>
        <w:rPr>
          <w:rFonts w:ascii="Times New Roman" w:hAnsi="Times New Roman" w:cs="Times New Roman"/>
          <w:sz w:val="22"/>
          <w:szCs w:val="22"/>
        </w:rPr>
        <w:t xml:space="preserve"> in Greek, </w:t>
      </w:r>
      <w:r>
        <w:rPr>
          <w:rFonts w:ascii="Times New Roman" w:hAnsi="Times New Roman" w:cs="Times New Roman"/>
          <w:i/>
          <w:iCs/>
          <w:sz w:val="22"/>
          <w:szCs w:val="22"/>
        </w:rPr>
        <w:t>substantia</w:t>
      </w:r>
      <w:r>
        <w:rPr>
          <w:rFonts w:ascii="Times New Roman" w:hAnsi="Times New Roman" w:cs="Times New Roman"/>
          <w:sz w:val="22"/>
          <w:szCs w:val="22"/>
        </w:rPr>
        <w:t xml:space="preserve"> in Latin). The precision of the vocabulary was hard-won, and behind it lie centuries of argument about exactly what distinction is being made and how to prevent it from collapsing into either three gods or a single God wearing different faces.</w:t>
      </w:r>
      <w:r>
        <w:rPr>
          <w:rFonts w:ascii="Times New Roman" w:hAnsi="Times New Roman" w:cs="Times New Roman"/>
          <w:sz w:val="22"/>
          <w:szCs w:val="22"/>
          <w:vertAlign w:val="superscript"/>
        </w:rPr>
        <w:t>5</w:t>
      </w:r>
    </w:p>
    <w:p w14:paraId="2AF70096" w14:textId="77777777" w:rsidR="00274A73" w:rsidRPr="00850CC8" w:rsidRDefault="00274A73" w:rsidP="00850CC8">
      <w:pPr>
        <w:spacing w:line="276" w:lineRule="auto"/>
        <w:rPr>
          <w:rFonts w:ascii="Times New Roman" w:hAnsi="Times New Roman" w:cs="Times New Roman"/>
          <w:sz w:val="22"/>
          <w:szCs w:val="22"/>
        </w:rPr>
      </w:pPr>
    </w:p>
    <w:p w14:paraId="60DE5634" w14:textId="77777777" w:rsidR="00274A73" w:rsidRPr="00850CC8" w:rsidRDefault="00274A73"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 xml:space="preserve">What matters for the present argument is not the technical vocabulary but the reality it is trying to describe. The God who is the ground of all moral reality is not a solitary individual. He is, within his own eternal life, a community: three persons in a relationship of mutual knowing, mutual love, and mutual self-giving that is so complete that the three are truly one. The theological term for this mutual indwelling is </w:t>
      </w:r>
      <w:r>
        <w:rPr>
          <w:rFonts w:ascii="Times New Roman" w:hAnsi="Times New Roman" w:cs="Times New Roman"/>
          <w:i/>
          <w:iCs/>
          <w:sz w:val="22"/>
          <w:szCs w:val="22"/>
        </w:rPr>
        <w:t>perichoresis</w:t>
      </w:r>
      <w:r>
        <w:rPr>
          <w:rFonts w:ascii="Times New Roman" w:hAnsi="Times New Roman" w:cs="Times New Roman"/>
          <w:sz w:val="22"/>
          <w:szCs w:val="22"/>
        </w:rPr>
        <w:t>, from the Greek word for a kind of circular movement or interpenetration. Each person of the Trinity is fully present in and to the others; none is absorbed by the others; each gives and receives in a relation of love that has no beginning and no end.</w:t>
      </w:r>
      <w:r>
        <w:rPr>
          <w:rFonts w:ascii="Times New Roman" w:hAnsi="Times New Roman" w:cs="Times New Roman"/>
          <w:sz w:val="22"/>
          <w:szCs w:val="22"/>
          <w:vertAlign w:val="superscript"/>
        </w:rPr>
        <w:t>6</w:t>
      </w:r>
    </w:p>
    <w:p w14:paraId="4C9DEF51" w14:textId="77777777" w:rsidR="00274A73" w:rsidRPr="00850CC8" w:rsidRDefault="00274A73" w:rsidP="00850CC8">
      <w:pPr>
        <w:spacing w:line="276" w:lineRule="auto"/>
        <w:rPr>
          <w:rFonts w:ascii="Times New Roman" w:hAnsi="Times New Roman" w:cs="Times New Roman"/>
          <w:sz w:val="22"/>
          <w:szCs w:val="22"/>
        </w:rPr>
      </w:pPr>
    </w:p>
    <w:p w14:paraId="61F2DBE0" w14:textId="77777777" w:rsidR="00274A73" w:rsidRPr="00850CC8" w:rsidRDefault="00274A73" w:rsidP="00850CC8">
      <w:pPr>
        <w:spacing w:before="480" w:after="240" w:line="276" w:lineRule="auto"/>
        <w:rPr>
          <w:rFonts w:ascii="Times New Roman" w:hAnsi="Times New Roman" w:cs="Times New Roman"/>
          <w:sz w:val="22"/>
          <w:szCs w:val="22"/>
        </w:rPr>
      </w:pPr>
      <w:r>
        <w:rPr>
          <w:rFonts w:ascii="Times New Roman" w:hAnsi="Times New Roman" w:cs="Times New Roman"/>
          <w:b/>
          <w:bCs/>
          <w:sz w:val="22"/>
          <w:szCs w:val="22"/>
        </w:rPr>
        <w:t>What Augustine Saw</w:t>
      </w:r>
    </w:p>
    <w:p w14:paraId="3CEA1E54" w14:textId="77777777" w:rsidR="00274A73" w:rsidRPr="00850CC8" w:rsidRDefault="00274A73" w:rsidP="00850CC8">
      <w:pPr>
        <w:spacing w:line="276" w:lineRule="auto"/>
        <w:jc w:val="both"/>
        <w:rPr>
          <w:rFonts w:ascii="Times New Roman" w:hAnsi="Times New Roman" w:cs="Times New Roman"/>
          <w:sz w:val="22"/>
          <w:szCs w:val="22"/>
        </w:rPr>
      </w:pPr>
      <w:r>
        <w:rPr>
          <w:rFonts w:ascii="Times New Roman" w:hAnsi="Times New Roman" w:cs="Times New Roman"/>
          <w:sz w:val="22"/>
          <w:szCs w:val="22"/>
        </w:rPr>
        <w:lastRenderedPageBreak/>
        <w:t xml:space="preserve">Augustine of Hippo, writing in the early fifth century, produced in his </w:t>
      </w:r>
      <w:r>
        <w:rPr>
          <w:rFonts w:ascii="Times New Roman" w:hAnsi="Times New Roman" w:cs="Times New Roman"/>
          <w:i/>
          <w:iCs/>
          <w:sz w:val="22"/>
          <w:szCs w:val="22"/>
        </w:rPr>
        <w:t>De Trinitate</w:t>
      </w:r>
      <w:r>
        <w:rPr>
          <w:rFonts w:ascii="Times New Roman" w:hAnsi="Times New Roman" w:cs="Times New Roman"/>
          <w:sz w:val="22"/>
          <w:szCs w:val="22"/>
        </w:rPr>
        <w:t xml:space="preserve"> the most sustained and influential attempt in the Western tradition to think through what the inner life of the Trinity is actually like. He proceeded, characteristically, by analogy: looking for structures within the created order that might illuminate, however imperfectly, the relations of the divine persons. His most famous analogies are drawn from the inner life of the human mind: memory, understanding, and will as an image of the three persons; the mind’s knowledge of itself and love of itself as another such image.</w:t>
      </w:r>
      <w:r>
        <w:rPr>
          <w:rFonts w:ascii="Times New Roman" w:hAnsi="Times New Roman" w:cs="Times New Roman"/>
          <w:sz w:val="22"/>
          <w:szCs w:val="22"/>
          <w:vertAlign w:val="superscript"/>
        </w:rPr>
        <w:t>7</w:t>
      </w:r>
    </w:p>
    <w:p w14:paraId="7C9A6350" w14:textId="77777777" w:rsidR="00274A73" w:rsidRPr="00850CC8" w:rsidRDefault="00274A73" w:rsidP="00850CC8">
      <w:pPr>
        <w:spacing w:line="276" w:lineRule="auto"/>
        <w:rPr>
          <w:rFonts w:ascii="Times New Roman" w:hAnsi="Times New Roman" w:cs="Times New Roman"/>
          <w:sz w:val="22"/>
          <w:szCs w:val="22"/>
        </w:rPr>
      </w:pPr>
    </w:p>
    <w:p w14:paraId="49E0FC5B" w14:textId="77777777" w:rsidR="00274A73" w:rsidRPr="00850CC8" w:rsidRDefault="00274A73"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These analogies have their limits, as Augustine himself acknowledged. The human mind is one person, not three, and its internal distinctions do not generate the kind of real personal otherness that characterizes the Trinity. But one of Augustine’s formulations is worth pausing over, because it anticipates something that will become important later in this book. Augustine described the Trinity as Lover, Beloved, and the Love between them. The Father loves the Son; the Son loves the Father; and the Spirit is, in some sense, the love that constitutes and flows between them.</w:t>
      </w:r>
    </w:p>
    <w:p w14:paraId="573E187B" w14:textId="77777777" w:rsidR="00274A73" w:rsidRPr="00850CC8" w:rsidRDefault="00274A73" w:rsidP="00850CC8">
      <w:pPr>
        <w:spacing w:line="276" w:lineRule="auto"/>
        <w:rPr>
          <w:rFonts w:ascii="Times New Roman" w:hAnsi="Times New Roman" w:cs="Times New Roman"/>
          <w:sz w:val="22"/>
          <w:szCs w:val="22"/>
        </w:rPr>
      </w:pPr>
    </w:p>
    <w:p w14:paraId="043E1655" w14:textId="77777777" w:rsidR="00274A73" w:rsidRPr="00850CC8" w:rsidRDefault="00274A73"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 xml:space="preserve">What Augustine’s formulation captures is the reflexive structure of Trinitarian love. It is not love directed outward toward an object that stands apart from the lover. It is love in which each person gives and receives, in which the self-giving of each is completed by the self-giving of the others, in which the lover is not diminished by the giving but is, in the giving and receiving, most fully what he is. This reflexive, mutually completing quality of divine love is what the word </w:t>
      </w:r>
      <w:r>
        <w:rPr>
          <w:rFonts w:ascii="Times New Roman" w:hAnsi="Times New Roman" w:cs="Times New Roman"/>
          <w:i/>
          <w:iCs/>
          <w:sz w:val="22"/>
          <w:szCs w:val="22"/>
        </w:rPr>
        <w:t>perichoresis</w:t>
      </w:r>
      <w:r>
        <w:rPr>
          <w:rFonts w:ascii="Times New Roman" w:hAnsi="Times New Roman" w:cs="Times New Roman"/>
          <w:sz w:val="22"/>
          <w:szCs w:val="22"/>
        </w:rPr>
        <w:t xml:space="preserve"> points toward, and it is what makes the Trinity not just an interesting theological puzzle but the living source of the moral pattern this book is tracing.</w:t>
      </w:r>
    </w:p>
    <w:p w14:paraId="5CEB60B7" w14:textId="77777777" w:rsidR="00274A73" w:rsidRPr="00850CC8" w:rsidRDefault="00274A73" w:rsidP="00850CC8">
      <w:pPr>
        <w:spacing w:line="276" w:lineRule="auto"/>
        <w:rPr>
          <w:rFonts w:ascii="Times New Roman" w:hAnsi="Times New Roman" w:cs="Times New Roman"/>
          <w:sz w:val="22"/>
          <w:szCs w:val="22"/>
        </w:rPr>
      </w:pPr>
    </w:p>
    <w:p w14:paraId="4CEA4244" w14:textId="77777777" w:rsidR="00274A73" w:rsidRPr="00850CC8" w:rsidRDefault="00274A73"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Augustine’s approach has sometimes been criticized for privileging the unity of God over the personal distinctions, in ways that make it difficult to say anything substantive about the relations between the persons. The criticism has some strength, and it is worth acknowledging. The tradition of thought that flows from Augustine, through Aquinas, and into much of Western Catholic and Protestant theology, has tended to begin with the one divine substance and then ask how three personal distinctions are possible within it. The tradition associated with the Cappadocian theologians, Basil of Caesarea, Gregory of Nyssa, and Gregory of Nazianzus, tends to move in the opposite direction, beginning with the three persons and asking about the unity of their communion.</w:t>
      </w:r>
      <w:r>
        <w:rPr>
          <w:rFonts w:ascii="Times New Roman" w:hAnsi="Times New Roman" w:cs="Times New Roman"/>
          <w:sz w:val="22"/>
          <w:szCs w:val="22"/>
          <w:vertAlign w:val="superscript"/>
        </w:rPr>
        <w:t>8</w:t>
      </w:r>
    </w:p>
    <w:p w14:paraId="51FD1939" w14:textId="77777777" w:rsidR="00274A73" w:rsidRPr="00850CC8" w:rsidRDefault="00274A73" w:rsidP="00850CC8">
      <w:pPr>
        <w:spacing w:line="276" w:lineRule="auto"/>
        <w:rPr>
          <w:rFonts w:ascii="Times New Roman" w:hAnsi="Times New Roman" w:cs="Times New Roman"/>
          <w:sz w:val="22"/>
          <w:szCs w:val="22"/>
        </w:rPr>
      </w:pPr>
    </w:p>
    <w:p w14:paraId="75BD7679" w14:textId="77777777" w:rsidR="00274A73" w:rsidRPr="00850CC8" w:rsidRDefault="00274A73"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For the purposes of the present argument, the important point is not which starting point is technically superior, but what both approaches are trying to preserve: the actual personal distinctness of Father, Son, and Spirit, and the real unity of their life together. What is being proposed here does not require the personal relations of the Trinity to be separable parts of a composite whole. It requires them to be real, not merely functional or economic projections onto a divine life that is, at its core, undifferentiated. Augustine’s own formulation of the Trinity as Lover, Beloved, and the Love between them already moves in this direction, whatever the formal limitations of his psychological analogies.</w:t>
      </w:r>
    </w:p>
    <w:p w14:paraId="0076E6D6" w14:textId="77777777" w:rsidR="00274A73" w:rsidRPr="00850CC8" w:rsidRDefault="00274A73" w:rsidP="00850CC8">
      <w:pPr>
        <w:spacing w:line="276" w:lineRule="auto"/>
        <w:rPr>
          <w:rFonts w:ascii="Times New Roman" w:hAnsi="Times New Roman" w:cs="Times New Roman"/>
          <w:sz w:val="22"/>
          <w:szCs w:val="22"/>
        </w:rPr>
      </w:pPr>
    </w:p>
    <w:p w14:paraId="6C82625A" w14:textId="77777777" w:rsidR="00274A73" w:rsidRPr="00850CC8" w:rsidRDefault="00274A73" w:rsidP="00850CC8">
      <w:pPr>
        <w:spacing w:before="480" w:after="240" w:line="276" w:lineRule="auto"/>
        <w:rPr>
          <w:rFonts w:ascii="Times New Roman" w:hAnsi="Times New Roman" w:cs="Times New Roman"/>
          <w:sz w:val="22"/>
          <w:szCs w:val="22"/>
        </w:rPr>
      </w:pPr>
      <w:r>
        <w:rPr>
          <w:rFonts w:ascii="Times New Roman" w:hAnsi="Times New Roman" w:cs="Times New Roman"/>
          <w:b/>
          <w:bCs/>
          <w:sz w:val="22"/>
          <w:szCs w:val="22"/>
        </w:rPr>
        <w:t>The Ethics That Flows From Life</w:t>
      </w:r>
    </w:p>
    <w:p w14:paraId="610402E4" w14:textId="77777777" w:rsidR="00274A73" w:rsidRPr="00850CC8" w:rsidRDefault="00274A73" w:rsidP="00850CC8">
      <w:pPr>
        <w:spacing w:line="276" w:lineRule="auto"/>
        <w:jc w:val="both"/>
        <w:rPr>
          <w:rFonts w:ascii="Times New Roman" w:hAnsi="Times New Roman" w:cs="Times New Roman"/>
          <w:sz w:val="22"/>
          <w:szCs w:val="22"/>
        </w:rPr>
      </w:pPr>
      <w:r>
        <w:rPr>
          <w:rFonts w:ascii="Times New Roman" w:hAnsi="Times New Roman" w:cs="Times New Roman"/>
          <w:sz w:val="22"/>
          <w:szCs w:val="22"/>
        </w:rPr>
        <w:t xml:space="preserve">The ethical implications of the perichoretic life of God are not obvious at first, and they require some care to draw out without overreaching. The claim is not that we can read a detailed moral code directly from the </w:t>
        <w:lastRenderedPageBreak/>
        <w:t>inner life of the Trinity, as if the specific requirements of honesty, justice, or care for the vulnerable were simply deductions from the doctrine of three persons in one substance. The claim is more fundamental and, I think, more interesting than that.</w:t>
      </w:r>
    </w:p>
    <w:p w14:paraId="71EFD54B" w14:textId="77777777" w:rsidR="00274A73" w:rsidRPr="00850CC8" w:rsidRDefault="00274A73" w:rsidP="00850CC8">
      <w:pPr>
        <w:spacing w:line="276" w:lineRule="auto"/>
        <w:rPr>
          <w:rFonts w:ascii="Times New Roman" w:hAnsi="Times New Roman" w:cs="Times New Roman"/>
          <w:sz w:val="22"/>
          <w:szCs w:val="22"/>
        </w:rPr>
      </w:pPr>
    </w:p>
    <w:p w14:paraId="18D690BD" w14:textId="77777777" w:rsidR="00274A73" w:rsidRPr="00850CC8" w:rsidRDefault="00274A73"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If the inner life of God is characterized by the mutual, reflexive, self-giving love that perichoresis describes, then morality, which is at bottom about how persons ought to relate to one another, finds its original pattern not in a code but in a life. The commands God gives to human beings are not arbitrary regulations imposed from outside. They are descriptions of the relational pattern that God himself eternally exemplifies, extended to creatures made to participate in that life.</w:t>
      </w:r>
    </w:p>
    <w:p w14:paraId="7A7B6B1D" w14:textId="77777777" w:rsidR="00274A73" w:rsidRPr="00850CC8" w:rsidRDefault="00274A73" w:rsidP="00850CC8">
      <w:pPr>
        <w:spacing w:line="276" w:lineRule="auto"/>
        <w:rPr>
          <w:rFonts w:ascii="Times New Roman" w:hAnsi="Times New Roman" w:cs="Times New Roman"/>
          <w:sz w:val="22"/>
          <w:szCs w:val="22"/>
        </w:rPr>
      </w:pPr>
    </w:p>
    <w:p w14:paraId="6BC92A2C" w14:textId="77777777" w:rsidR="00274A73" w:rsidRPr="00850CC8" w:rsidRDefault="00274A73"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 xml:space="preserve">John Zizioulas, the Greek Orthodox theologian whose work </w:t>
      </w:r>
      <w:r>
        <w:rPr>
          <w:rFonts w:ascii="Times New Roman" w:hAnsi="Times New Roman" w:cs="Times New Roman"/>
          <w:i/>
          <w:iCs/>
          <w:sz w:val="22"/>
          <w:szCs w:val="22"/>
        </w:rPr>
        <w:t>Being as Communion</w:t>
      </w:r>
      <w:r>
        <w:rPr>
          <w:rFonts w:ascii="Times New Roman" w:hAnsi="Times New Roman" w:cs="Times New Roman"/>
          <w:sz w:val="22"/>
          <w:szCs w:val="22"/>
        </w:rPr>
        <w:t xml:space="preserve"> has been widely influential across denominational boundaries, pressed this point in an ontological direction that is directly relevant here. His central claim is that personhood, properly understood, is irreducibly communal in the Trinitarian sense. To be a person is not to be a self-sufficient individual who subsequently enters into relations with others. It is to be constituted by relation, to exist in and through the kind of mutual giving and receiving that the Trinity exemplifies.</w:t>
      </w:r>
      <w:r>
        <w:rPr>
          <w:rFonts w:ascii="Times New Roman" w:hAnsi="Times New Roman" w:cs="Times New Roman"/>
          <w:sz w:val="22"/>
          <w:szCs w:val="22"/>
          <w:vertAlign w:val="superscript"/>
        </w:rPr>
        <w:t>9</w:t>
      </w:r>
    </w:p>
    <w:p w14:paraId="1F63D6E4" w14:textId="77777777" w:rsidR="00274A73" w:rsidRPr="00850CC8" w:rsidRDefault="00274A73" w:rsidP="00850CC8">
      <w:pPr>
        <w:spacing w:line="276" w:lineRule="auto"/>
        <w:rPr>
          <w:rFonts w:ascii="Times New Roman" w:hAnsi="Times New Roman" w:cs="Times New Roman"/>
          <w:sz w:val="22"/>
          <w:szCs w:val="22"/>
        </w:rPr>
      </w:pPr>
    </w:p>
    <w:p w14:paraId="5437BAE0" w14:textId="77777777" w:rsidR="00274A73" w:rsidRPr="00850CC8" w:rsidRDefault="00274A73"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Zizioulas was working primarily in ontology, asking what kind of being a person is, rather than in ethics, asking what a person ought to do. But the bridge between the two is direct. If persons are constituted by relation in the way Zizioulas describes, then the obligations that relations generate are not contingent additions to a prior individual existence. They are expressions of what it means to be a person at all. The relational fabric of a moral life is not a set of constraints imposed on essentially separate selves. It is the shape of the life that persons were made to live.</w:t>
      </w:r>
    </w:p>
    <w:p w14:paraId="7908F93D" w14:textId="77777777" w:rsidR="00274A73" w:rsidRPr="00850CC8" w:rsidRDefault="00274A73" w:rsidP="00850CC8">
      <w:pPr>
        <w:spacing w:line="276" w:lineRule="auto"/>
        <w:rPr>
          <w:rFonts w:ascii="Times New Roman" w:hAnsi="Times New Roman" w:cs="Times New Roman"/>
          <w:sz w:val="22"/>
          <w:szCs w:val="22"/>
        </w:rPr>
      </w:pPr>
    </w:p>
    <w:p w14:paraId="684E9F81" w14:textId="77777777" w:rsidR="00274A73" w:rsidRPr="00850CC8" w:rsidRDefault="00274A73"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 xml:space="preserve">Colin Gunton developed the ethical dimensions of this point in a direction that is worth following. His argument in </w:t>
      </w:r>
      <w:r>
        <w:rPr>
          <w:rFonts w:ascii="Times New Roman" w:hAnsi="Times New Roman" w:cs="Times New Roman"/>
          <w:i/>
          <w:iCs/>
          <w:sz w:val="22"/>
          <w:szCs w:val="22"/>
        </w:rPr>
        <w:t>The One, the Three and the Many</w:t>
      </w:r>
      <w:r>
        <w:rPr>
          <w:rFonts w:ascii="Times New Roman" w:hAnsi="Times New Roman" w:cs="Times New Roman"/>
          <w:sz w:val="22"/>
          <w:szCs w:val="22"/>
        </w:rPr>
        <w:t xml:space="preserve"> is that prioritizing divine unity over personal distinctions in much of Western theology has had consequences for how Western culture thinks about persons and communities. When the Trinity is understood primarily as a single divine subject who happens to exist in three modes, the relational life of the persons tends to be treated as secondary to the divine unity, and something similar happens in the culture that is shaped by that theology: the individual tends to be treated as primary, and community as secondary. </w:t>
      </w:r>
      <w:r>
        <w:rPr>
          <w:rFonts w:ascii="Times New Roman" w:hAnsi="Times New Roman" w:cs="Times New Roman"/>
          <w:sz w:val="22"/>
          <w:szCs w:val="22"/>
          <w:vertAlign w:val="superscript"/>
        </w:rPr>
        <w:t>10</w:t>
      </w:r>
    </w:p>
    <w:p w14:paraId="2B4A0BEE" w14:textId="77777777" w:rsidR="00274A73" w:rsidRPr="00850CC8" w:rsidRDefault="00274A73" w:rsidP="00850CC8">
      <w:pPr>
        <w:spacing w:line="276" w:lineRule="auto"/>
        <w:rPr>
          <w:rFonts w:ascii="Times New Roman" w:hAnsi="Times New Roman" w:cs="Times New Roman"/>
          <w:sz w:val="22"/>
          <w:szCs w:val="22"/>
        </w:rPr>
      </w:pPr>
    </w:p>
    <w:p w14:paraId="52B86ACC" w14:textId="77777777" w:rsidR="00274A73" w:rsidRPr="00850CC8" w:rsidRDefault="00274A73"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Gunton’s historical thesis is ambitious and has been contested in various ways. But the underlying logical point is sound. How we understand God shapes how we understand what it is to be a person. A theology in which the Trinitarian relations are fully real, in which the life of the three persons in mutual love is the primary reality and not a secondary qualification of a more basic divine unity, generates a correspondingly different understanding of human personhood: one in which being-in-relation is not a complication of selfhood but its proper form.</w:t>
      </w:r>
    </w:p>
    <w:p w14:paraId="07E5FCF0" w14:textId="77777777" w:rsidR="00274A73" w:rsidRPr="00850CC8" w:rsidRDefault="00274A73" w:rsidP="00850CC8">
      <w:pPr>
        <w:spacing w:line="276" w:lineRule="auto"/>
        <w:rPr>
          <w:rFonts w:ascii="Times New Roman" w:hAnsi="Times New Roman" w:cs="Times New Roman"/>
          <w:sz w:val="22"/>
          <w:szCs w:val="22"/>
        </w:rPr>
      </w:pPr>
    </w:p>
    <w:p w14:paraId="1D253B16" w14:textId="77777777" w:rsidR="00274A73" w:rsidRPr="00850CC8" w:rsidRDefault="00274A73" w:rsidP="00850CC8">
      <w:pPr>
        <w:spacing w:before="480" w:after="240" w:line="276" w:lineRule="auto"/>
        <w:rPr>
          <w:rFonts w:ascii="Times New Roman" w:hAnsi="Times New Roman" w:cs="Times New Roman"/>
          <w:sz w:val="22"/>
          <w:szCs w:val="22"/>
        </w:rPr>
      </w:pPr>
      <w:r>
        <w:rPr>
          <w:rFonts w:ascii="Times New Roman" w:hAnsi="Times New Roman" w:cs="Times New Roman"/>
          <w:b/>
          <w:bCs/>
          <w:sz w:val="22"/>
          <w:szCs w:val="22"/>
        </w:rPr>
        <w:t>The Reflexive Structure of Divine Love</w:t>
      </w:r>
    </w:p>
    <w:p w14:paraId="385881CD" w14:textId="77777777" w:rsidR="00274A73" w:rsidRPr="00850CC8" w:rsidRDefault="00274A73" w:rsidP="00850CC8">
      <w:pPr>
        <w:spacing w:line="276" w:lineRule="auto"/>
        <w:jc w:val="both"/>
        <w:rPr>
          <w:rFonts w:ascii="Times New Roman" w:hAnsi="Times New Roman" w:cs="Times New Roman"/>
          <w:sz w:val="22"/>
          <w:szCs w:val="22"/>
        </w:rPr>
      </w:pPr>
      <w:r>
        <w:rPr>
          <w:rFonts w:ascii="Times New Roman" w:hAnsi="Times New Roman" w:cs="Times New Roman"/>
          <w:sz w:val="22"/>
          <w:szCs w:val="22"/>
        </w:rPr>
        <w:t xml:space="preserve">There is a feature of the Trinitarian life that most discussions of relational ethics do not fully develop, and it will carry significant weight in the chapters that follow. Most accounts of relational ethics focus on love </w:t>
        <w:lastRenderedPageBreak/>
        <w:t>directed outward, on how I regard and treat the other person. The Trinitarian pattern includes something more: a reflexive structure in which the self is not negated by love of the other but is fully realized through it.</w:t>
      </w:r>
    </w:p>
    <w:p w14:paraId="367861E7" w14:textId="77777777" w:rsidR="00274A73" w:rsidRPr="00850CC8" w:rsidRDefault="00274A73" w:rsidP="00850CC8">
      <w:pPr>
        <w:spacing w:line="276" w:lineRule="auto"/>
        <w:rPr>
          <w:rFonts w:ascii="Times New Roman" w:hAnsi="Times New Roman" w:cs="Times New Roman"/>
          <w:sz w:val="22"/>
          <w:szCs w:val="22"/>
        </w:rPr>
      </w:pPr>
    </w:p>
    <w:p w14:paraId="435098E2" w14:textId="77777777" w:rsidR="00274A73" w:rsidRPr="00850CC8" w:rsidRDefault="00274A73"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Each person of the Trinity gives fully to the others, and in that giving is not diminished but most fully itself. The Father’s love for the Son does not deplete the Father; it is the expression of what the Father most fully is. The Son’s return of love to the Father does not subordinate the Son to a merely receptive role; the Son’s giving and receiving is itself the fullness of his personal existence. The Spirit’s proceeding from the Father and resting on the Son is not the Spirit’s disappearance into the life of the other two; it is the Spirit’s own mode of being fully personal within the communal life.</w:t>
      </w:r>
    </w:p>
    <w:p w14:paraId="0605F843" w14:textId="77777777" w:rsidR="00274A73" w:rsidRPr="00850CC8" w:rsidRDefault="00274A73" w:rsidP="00850CC8">
      <w:pPr>
        <w:spacing w:line="276" w:lineRule="auto"/>
        <w:rPr>
          <w:rFonts w:ascii="Times New Roman" w:hAnsi="Times New Roman" w:cs="Times New Roman"/>
          <w:sz w:val="22"/>
          <w:szCs w:val="22"/>
        </w:rPr>
      </w:pPr>
    </w:p>
    <w:p w14:paraId="2E11D3DE" w14:textId="77777777" w:rsidR="00274A73" w:rsidRPr="00850CC8" w:rsidRDefault="00274A73"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This reflexive structure, in which proper regard for the self and proper love of the other are not in competition but mutually constitutive, is exactly what the Golden Rule encodes. “Love your neighbor as yourself” does not say instead of yourself, or more than yourself, or at the expense of yourself. It establishes proper self-regard as the normative baseline from which neighbor-love proceeds. The phrase “as yourself” is not a comparative simile, suggesting that the intensity of neighbor-love should equal the intensity of self-love. It is a structural inclusion of the self as a proper object of moral regard, within the same framework that includes the neighbor.</w:t>
      </w:r>
      <w:r>
        <w:rPr>
          <w:rFonts w:ascii="Times New Roman" w:hAnsi="Times New Roman" w:cs="Times New Roman"/>
          <w:sz w:val="22"/>
          <w:szCs w:val="22"/>
          <w:vertAlign w:val="superscript"/>
        </w:rPr>
        <w:t>11</w:t>
      </w:r>
    </w:p>
    <w:p w14:paraId="7CF9C7F5" w14:textId="77777777" w:rsidR="00274A73" w:rsidRPr="00850CC8" w:rsidRDefault="00274A73" w:rsidP="00850CC8">
      <w:pPr>
        <w:spacing w:line="276" w:lineRule="auto"/>
        <w:rPr>
          <w:rFonts w:ascii="Times New Roman" w:hAnsi="Times New Roman" w:cs="Times New Roman"/>
          <w:sz w:val="22"/>
          <w:szCs w:val="22"/>
        </w:rPr>
      </w:pPr>
    </w:p>
    <w:p w14:paraId="1578F9D1" w14:textId="77777777" w:rsidR="00274A73" w:rsidRPr="00850CC8" w:rsidRDefault="00274A73"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Here is what seems to me an underexplored observation. The Golden Rule, understood in its full theological context, is not primarily a command imposed on creatures from outside. It is a description of the inner life of the Trinity before it is a prescription for human conduct. The Father gives to the Son what he would have given to himself; the Son offers to the Father what he would receive; the Spirit’s procession is itself the outgoing of a love that returns. When God commands the Golden Rule of his image-bearing creatures, he is not inventing a novel moral standard. He is inviting creatures into the pattern that constitutes his own eternal life.</w:t>
      </w:r>
    </w:p>
    <w:p w14:paraId="5D148B7C" w14:textId="77777777" w:rsidR="00274A73" w:rsidRPr="00850CC8" w:rsidRDefault="00274A73" w:rsidP="00850CC8">
      <w:pPr>
        <w:spacing w:line="276" w:lineRule="auto"/>
        <w:rPr>
          <w:rFonts w:ascii="Times New Roman" w:hAnsi="Times New Roman" w:cs="Times New Roman"/>
          <w:sz w:val="22"/>
          <w:szCs w:val="22"/>
        </w:rPr>
      </w:pPr>
    </w:p>
    <w:p w14:paraId="7837F59A" w14:textId="77777777" w:rsidR="00274A73" w:rsidRPr="00850CC8" w:rsidRDefault="00274A73"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Jeffrey Wattles, in the most thorough philosophical and historical treatment of the Golden Rule available, traces the Rule with impressive care across traditions, from Confucian ethics to Greek philosophy to the Abrahamic religions. His analysis of the Rule’s structure and its various interpretations is illuminating, and the present argument is in his debt. What his treatment does not pursue is the possibility that the Rule’s deepest ground lies not in any human tradition but in the immanent life of the Trinity, of which the human traditions are, in different ways, partial reflections.</w:t>
      </w:r>
      <w:r>
        <w:rPr>
          <w:rFonts w:ascii="Times New Roman" w:hAnsi="Times New Roman" w:cs="Times New Roman"/>
          <w:sz w:val="22"/>
          <w:szCs w:val="22"/>
          <w:vertAlign w:val="superscript"/>
        </w:rPr>
        <w:t>12</w:t>
      </w:r>
    </w:p>
    <w:p w14:paraId="15D601D2" w14:textId="77777777" w:rsidR="00274A73" w:rsidRPr="00850CC8" w:rsidRDefault="00274A73" w:rsidP="00850CC8">
      <w:pPr>
        <w:spacing w:line="276" w:lineRule="auto"/>
        <w:rPr>
          <w:rFonts w:ascii="Times New Roman" w:hAnsi="Times New Roman" w:cs="Times New Roman"/>
          <w:sz w:val="22"/>
          <w:szCs w:val="22"/>
        </w:rPr>
      </w:pPr>
    </w:p>
    <w:p w14:paraId="4E1085EB" w14:textId="77777777" w:rsidR="00274A73" w:rsidRPr="00850CC8" w:rsidRDefault="00274A73"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 xml:space="preserve">Miroslav Volf’s account, in </w:t>
      </w:r>
      <w:r>
        <w:rPr>
          <w:rFonts w:ascii="Times New Roman" w:hAnsi="Times New Roman" w:cs="Times New Roman"/>
          <w:i/>
          <w:iCs/>
          <w:sz w:val="22"/>
          <w:szCs w:val="22"/>
        </w:rPr>
        <w:t>Exclusion and Embrace</w:t>
      </w:r>
      <w:r>
        <w:rPr>
          <w:rFonts w:ascii="Times New Roman" w:hAnsi="Times New Roman" w:cs="Times New Roman"/>
          <w:sz w:val="22"/>
          <w:szCs w:val="22"/>
        </w:rPr>
        <w:t>, of what he calls the will-to-embrace comes, perhaps, closest in the existing literature to a Trinitarian grounding for the kind of moral orientation described here. Volf uses the image of the Father's open arms in the parable of the prodigal son as the paradigmatic posture of love directed toward the one who has become an enemy, and he grounds that posture in the Trinitarian character of God. His center of gravity, however, is the embrace of the enemy as the proper response to exclusion and violation, rather than the reflexive structure of Trinitarian love as the ontological source of the Golden Rule’s “as yourself.” The two arguments are complementary, and Volf’s is in many respects the more searching, but they are asking somewhat different questions.</w:t>
      </w:r>
      <w:r>
        <w:rPr>
          <w:rFonts w:ascii="Times New Roman" w:hAnsi="Times New Roman" w:cs="Times New Roman"/>
          <w:sz w:val="22"/>
          <w:szCs w:val="22"/>
          <w:vertAlign w:val="superscript"/>
        </w:rPr>
        <w:t>13</w:t>
      </w:r>
    </w:p>
    <w:p w14:paraId="6AEE5DC9" w14:textId="77777777" w:rsidR="00274A73" w:rsidRPr="00850CC8" w:rsidRDefault="00274A73" w:rsidP="00850CC8">
      <w:pPr>
        <w:spacing w:before="480" w:after="240" w:line="276" w:lineRule="auto"/>
        <w:rPr>
          <w:rFonts w:ascii="Times New Roman" w:hAnsi="Times New Roman" w:cs="Times New Roman"/>
          <w:b/>
          <w:bCs/>
          <w:sz w:val="22"/>
          <w:szCs w:val="22"/>
        </w:rPr>
      </w:pPr>
    </w:p>
    <w:p w14:paraId="5590EAEB" w14:textId="77777777" w:rsidR="00274A73" w:rsidRPr="00850CC8" w:rsidRDefault="00274A73" w:rsidP="00850CC8">
      <w:pPr>
        <w:spacing w:before="480" w:after="240" w:line="276" w:lineRule="auto"/>
        <w:rPr>
          <w:rFonts w:ascii="Times New Roman" w:hAnsi="Times New Roman" w:cs="Times New Roman"/>
          <w:sz w:val="22"/>
          <w:szCs w:val="22"/>
        </w:rPr>
      </w:pPr>
      <w:r>
        <w:rPr>
          <w:rFonts w:ascii="Times New Roman" w:hAnsi="Times New Roman" w:cs="Times New Roman"/>
          <w:b/>
          <w:bCs/>
          <w:sz w:val="22"/>
          <w:szCs w:val="22"/>
        </w:rPr>
        <w:lastRenderedPageBreak/>
        <w:t>A Word About Divine Simplicity</w:t>
      </w:r>
    </w:p>
    <w:p w14:paraId="33911FCD" w14:textId="77777777" w:rsidR="00274A73" w:rsidRPr="00850CC8" w:rsidRDefault="00274A73" w:rsidP="00850CC8">
      <w:pPr>
        <w:spacing w:line="276" w:lineRule="auto"/>
        <w:jc w:val="both"/>
        <w:rPr>
          <w:rFonts w:ascii="Times New Roman" w:hAnsi="Times New Roman" w:cs="Times New Roman"/>
          <w:sz w:val="22"/>
          <w:szCs w:val="22"/>
        </w:rPr>
      </w:pPr>
      <w:r>
        <w:rPr>
          <w:rFonts w:ascii="Times New Roman" w:hAnsi="Times New Roman" w:cs="Times New Roman"/>
          <w:sz w:val="22"/>
          <w:szCs w:val="22"/>
        </w:rPr>
        <w:t>A reader with some background in traditional theology may have noticed that the argument of this chapter sits in some tension with the doctrine of divine simplicity, which holds that God is without parts or composition. If God is perfectly simple, in the technical theological sense, it is not immediately obvious how the inner relational life of the Trinity can serve as a pattern for the moral life, since a God without parts or composition cannot straightforwardly be said to have an inner life in which real distinctions and actual relations obtain.</w:t>
      </w:r>
    </w:p>
    <w:p w14:paraId="617DBA90" w14:textId="77777777" w:rsidR="00274A73" w:rsidRPr="00850CC8" w:rsidRDefault="00274A73" w:rsidP="00850CC8">
      <w:pPr>
        <w:spacing w:line="276" w:lineRule="auto"/>
        <w:rPr>
          <w:rFonts w:ascii="Times New Roman" w:hAnsi="Times New Roman" w:cs="Times New Roman"/>
          <w:sz w:val="22"/>
          <w:szCs w:val="22"/>
        </w:rPr>
      </w:pPr>
    </w:p>
    <w:p w14:paraId="2F6AFDE8" w14:textId="77777777" w:rsidR="00274A73" w:rsidRPr="00850CC8" w:rsidRDefault="00274A73"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The tension is real, and I do not want to dissolve it too quickly. The doctrine of divine simplicity, in its classical Thomistic form, was developed with great care for good reasons: chiefly to protect the divine transcendence from any suggestion that God is composed of parts that could in principle be separated, or that the divine attributes are independent constituents that God happens to possess. These are important concerns.</w:t>
      </w:r>
      <w:r>
        <w:rPr>
          <w:rFonts w:ascii="Times New Roman" w:hAnsi="Times New Roman" w:cs="Times New Roman"/>
          <w:sz w:val="22"/>
          <w:szCs w:val="22"/>
          <w:vertAlign w:val="superscript"/>
        </w:rPr>
        <w:t>14</w:t>
      </w:r>
    </w:p>
    <w:p w14:paraId="369B6DB8" w14:textId="77777777" w:rsidR="00274A73" w:rsidRPr="00850CC8" w:rsidRDefault="00274A73" w:rsidP="00850CC8">
      <w:pPr>
        <w:spacing w:line="276" w:lineRule="auto"/>
        <w:rPr>
          <w:rFonts w:ascii="Times New Roman" w:hAnsi="Times New Roman" w:cs="Times New Roman"/>
          <w:sz w:val="22"/>
          <w:szCs w:val="22"/>
        </w:rPr>
      </w:pPr>
    </w:p>
    <w:p w14:paraId="03CD0DC7" w14:textId="77777777" w:rsidR="00274A73" w:rsidRPr="00850CC8" w:rsidRDefault="00274A73"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What I want to note, without claiming to resolve the deeper metaphysical question, is that the constructive argument here does not require the personal relations of the Trinity to be ontological parts in the technical Thomistic sense. It requires only that they be substantively real, and not merely functional descriptions of how the one divine subject presents himself in different contexts. Augustine himself, who was as committed as anyone in the Western tradition to the divine unity, described the Trinity in terms of Lover, Beloved, and the Love between them, which is precisely the kind of real relational structure the present argument needs. Whether that structure is compatible with the fullest articulation of divine simplicity is a question that Trinitarian theologians continue to debate. What is clear is that the personal relations of the Trinity were, for Augustine as for the broader tradition, substantively real and not merely apparent.</w:t>
      </w:r>
      <w:r>
        <w:rPr>
          <w:rFonts w:ascii="Times New Roman" w:hAnsi="Times New Roman" w:cs="Times New Roman"/>
          <w:sz w:val="22"/>
          <w:szCs w:val="22"/>
          <w:vertAlign w:val="superscript"/>
        </w:rPr>
        <w:t>15</w:t>
      </w:r>
    </w:p>
    <w:p w14:paraId="6C964E47" w14:textId="77777777" w:rsidR="00274A73" w:rsidRPr="00850CC8" w:rsidRDefault="00274A73" w:rsidP="00850CC8">
      <w:pPr>
        <w:spacing w:line="276" w:lineRule="auto"/>
        <w:rPr>
          <w:rFonts w:ascii="Times New Roman" w:hAnsi="Times New Roman" w:cs="Times New Roman"/>
          <w:sz w:val="22"/>
          <w:szCs w:val="22"/>
        </w:rPr>
      </w:pPr>
    </w:p>
    <w:p w14:paraId="5D45E277" w14:textId="77777777" w:rsidR="00274A73" w:rsidRPr="00850CC8" w:rsidRDefault="00274A73"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A more pointed form of this challenge has been pressed by Karen Kilby, whose critique targets specifically the use of perichoresis as a social model for ethics and community. Her argument is that social Trinitarian theology involves a circular move: it first constructs an image of ideal human community, projects that image onto the inner life of the Trinity as the content of perichoresis, and then claims to derive the requirements of human community from the Trinitarian pattern it has just constructed. The result, on her reading, is not a theology that disciplines human social thought by the character of God, but a human social ideal dressed in theological language and returned to us as divine mandate. The charge is a serious one, and if Kilby’s target and the present argument were the same thing, the present argument would be in difficulty.</w:t>
      </w:r>
      <w:r>
        <w:rPr>
          <w:rFonts w:ascii="Times New Roman" w:hAnsi="Times New Roman" w:cs="Times New Roman"/>
          <w:sz w:val="22"/>
          <w:szCs w:val="22"/>
          <w:vertAlign w:val="superscript"/>
        </w:rPr>
        <w:t>16</w:t>
      </w:r>
    </w:p>
    <w:p w14:paraId="5D0DE5FE" w14:textId="77777777" w:rsidR="00274A73" w:rsidRPr="00850CC8" w:rsidRDefault="00274A73" w:rsidP="00850CC8">
      <w:pPr>
        <w:spacing w:line="276" w:lineRule="auto"/>
        <w:rPr>
          <w:rFonts w:ascii="Times New Roman" w:hAnsi="Times New Roman" w:cs="Times New Roman"/>
          <w:sz w:val="22"/>
          <w:szCs w:val="22"/>
        </w:rPr>
      </w:pPr>
    </w:p>
    <w:p w14:paraId="793D174A" w14:textId="77777777" w:rsidR="00274A73" w:rsidRPr="00850CC8" w:rsidRDefault="00274A73"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 xml:space="preserve">They are not. Kilby’s critique is aimed at arguments that treat the Trinitarian persons as three social centers of consciousness whose communal relations provide a positive template for human society, a template derived by analogy and then replicated in the creaturely realm. The present argument makes a different and more limited claim. It does not treat the Trinity as a social model to be imitated. It treats the personal relations of Father, Son, and Spirit as substantively real rather than merely economic, and grounds the moral life not in the imitation of a Trinitarian social pattern but in participation in a prior love that has already constituted the relational structure of creaturely existence. Participation and imitation are not the same move. Imitation presupposes that we can first understand the Trinitarian life in social terms and then </w:t>
        <w:lastRenderedPageBreak/>
        <w:t>replicate those terms in human community, which is precisely the circular move Kilby identifies. Participation presupposes only that the love which constitutes the divine life has freely extended itself into the creaturely realm, and that living in accordance with the relational constitution that creatures have thereby received is the shape of the life they were made to live.</w:t>
      </w:r>
    </w:p>
    <w:p w14:paraId="37B35FCE" w14:textId="77777777" w:rsidR="00274A73" w:rsidRPr="00850CC8" w:rsidRDefault="00274A73" w:rsidP="00850CC8">
      <w:pPr>
        <w:spacing w:line="276" w:lineRule="auto"/>
        <w:rPr>
          <w:rFonts w:ascii="Times New Roman" w:hAnsi="Times New Roman" w:cs="Times New Roman"/>
          <w:sz w:val="22"/>
          <w:szCs w:val="22"/>
        </w:rPr>
      </w:pPr>
    </w:p>
    <w:p w14:paraId="776F274B" w14:textId="77777777" w:rsidR="00274A73" w:rsidRPr="00850CC8" w:rsidRDefault="00274A73"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A further response is available from the broader theological project of which this book is a part. The companion volume insists on the unity of divine purpose and character across the persons in a way that blocks the reading Kilby warns against. If Father, Son, and Spirit share a single divine purpose and act with a single divine character in the demonstration of who God is, they cannot be understood as three independent social agents whose communal relations provide a model for creaturely community. They are one God whose inner life is constituted by irreducibly personal relations, and whose outward dealings with creation express a single will, a single character, and a single love. That unity is not the unity of a solitary divine subject, but the unity of three persons in one substance. It is precisely that unity, as much as the personal plurality, that the ethical argument of this book requires. The Trinity is not offered here as a social pattern to be replicated. It is named as the source from which the prior love that grounds the moral life freely and uncoercedly flows.</w:t>
      </w:r>
    </w:p>
    <w:p w14:paraId="7E4350B1" w14:textId="77777777" w:rsidR="00274A73" w:rsidRPr="00850CC8" w:rsidRDefault="00274A73" w:rsidP="00850CC8">
      <w:pPr>
        <w:spacing w:line="276" w:lineRule="auto"/>
        <w:rPr>
          <w:rFonts w:ascii="Times New Roman" w:hAnsi="Times New Roman" w:cs="Times New Roman"/>
          <w:sz w:val="22"/>
          <w:szCs w:val="22"/>
        </w:rPr>
      </w:pPr>
    </w:p>
    <w:p w14:paraId="777B9E98" w14:textId="77777777" w:rsidR="00274A73" w:rsidRPr="00850CC8" w:rsidRDefault="00274A73" w:rsidP="00850CC8">
      <w:pPr>
        <w:spacing w:before="480" w:after="240" w:line="276" w:lineRule="auto"/>
        <w:rPr>
          <w:rFonts w:ascii="Times New Roman" w:hAnsi="Times New Roman" w:cs="Times New Roman"/>
          <w:sz w:val="22"/>
          <w:szCs w:val="22"/>
        </w:rPr>
      </w:pPr>
      <w:r>
        <w:rPr>
          <w:rFonts w:ascii="Times New Roman" w:hAnsi="Times New Roman" w:cs="Times New Roman"/>
          <w:b/>
          <w:bCs/>
          <w:sz w:val="22"/>
          <w:szCs w:val="22"/>
        </w:rPr>
        <w:t>The Love That Was Already There</w:t>
      </w:r>
    </w:p>
    <w:p w14:paraId="5C8016A4" w14:textId="77777777" w:rsidR="00274A73" w:rsidRPr="00850CC8" w:rsidRDefault="00274A73" w:rsidP="00850CC8">
      <w:pPr>
        <w:spacing w:line="276" w:lineRule="auto"/>
        <w:jc w:val="both"/>
        <w:rPr>
          <w:rFonts w:ascii="Times New Roman" w:hAnsi="Times New Roman" w:cs="Times New Roman"/>
          <w:sz w:val="22"/>
          <w:szCs w:val="22"/>
        </w:rPr>
      </w:pPr>
      <w:r>
        <w:rPr>
          <w:rFonts w:ascii="Times New Roman" w:hAnsi="Times New Roman" w:cs="Times New Roman"/>
          <w:sz w:val="22"/>
          <w:szCs w:val="22"/>
        </w:rPr>
        <w:t>There is a passage in the Gospel of John that has always seemed to me one of the most extraordinary in all of Scripture. In his prayer in the upper room, the night before his crucifixion, Jesus prays: “Father, I want those you have given me to be with me where I am, and to see my glory, the glory you have given me because you loved me before the creation of the world” (John 17:24).</w:t>
      </w:r>
    </w:p>
    <w:p w14:paraId="38F1814C" w14:textId="77777777" w:rsidR="00274A73" w:rsidRPr="00850CC8" w:rsidRDefault="00274A73" w:rsidP="00850CC8">
      <w:pPr>
        <w:spacing w:line="276" w:lineRule="auto"/>
        <w:rPr>
          <w:rFonts w:ascii="Times New Roman" w:hAnsi="Times New Roman" w:cs="Times New Roman"/>
          <w:sz w:val="22"/>
          <w:szCs w:val="22"/>
        </w:rPr>
      </w:pPr>
    </w:p>
    <w:p w14:paraId="23FA13C8" w14:textId="77777777" w:rsidR="00274A73" w:rsidRPr="00850CC8" w:rsidRDefault="00274A73"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The phrase “before the creation of the world” expresses an important reality. It places the love between Father and Son outside the temporal order altogether. The creation is not the beginning of God’s love; it is an expression of a love that was already eternally complete before the first word was spoken. The world did not call the divine love into being. The love that was already complete in itself, already eternal in its mutual self-giving, turned outward in the free act of creation. Not because it lacked anything. Not because it needed the world to be fully what it is. But because the eternal self-giving of the persons to one another is, by its nature, the kind of love that moves toward the other rather than withdrawing from them. Creation is the first consequence of a love that was never about itself alone.</w:t>
      </w:r>
    </w:p>
    <w:p w14:paraId="4BD5AAF5" w14:textId="77777777" w:rsidR="00274A73" w:rsidRPr="00850CC8" w:rsidRDefault="00274A73" w:rsidP="00850CC8">
      <w:pPr>
        <w:spacing w:line="276" w:lineRule="auto"/>
        <w:rPr>
          <w:rFonts w:ascii="Times New Roman" w:hAnsi="Times New Roman" w:cs="Times New Roman"/>
          <w:sz w:val="22"/>
          <w:szCs w:val="22"/>
        </w:rPr>
      </w:pPr>
    </w:p>
    <w:p w14:paraId="5F0C67E5" w14:textId="77777777" w:rsidR="00274A73" w:rsidRPr="00850CC8" w:rsidRDefault="00274A73"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This is the point at which the Trinitarian theology of this chapter connects to the sentence with which this book began. The love that the Son received from the Father before the foundation of the world is the same love that moves outward in creation, that enters the world in the Incarnation, and that addresses creatures by name before they can answer. When John writes that we love because he first loved us, the priority he names reaches back past every human beginning to the love that was already complete in the eternal communion of the persons. That love is prior not merely in the sense that it came before ours in time. It is prior in the sense that it is the ground of ours, the love that calls our love into existence and sustains it from below. It does not wait for us to summon it or earn it or understand it. It precedes us with the same freedom and the same uncoerced self-giving with which the Father has always given himself to the Son.</w:t>
      </w:r>
    </w:p>
    <w:p w14:paraId="79FAB5CC" w14:textId="77777777" w:rsidR="00274A73" w:rsidRPr="00850CC8" w:rsidRDefault="00274A73" w:rsidP="00850CC8">
      <w:pPr>
        <w:spacing w:line="276" w:lineRule="auto"/>
        <w:rPr>
          <w:rFonts w:ascii="Times New Roman" w:hAnsi="Times New Roman" w:cs="Times New Roman"/>
          <w:sz w:val="22"/>
          <w:szCs w:val="22"/>
        </w:rPr>
      </w:pPr>
    </w:p>
    <w:p w14:paraId="221D4BBF" w14:textId="77777777" w:rsidR="00274A73" w:rsidRPr="00850CC8" w:rsidRDefault="00274A73"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That invitation is what Christian ethics is finally about. It is not primarily a set of obligations to be discharged or a code to be complied with. It is the shape of a participation: the life of persons who, made in the image of the relational God, are being drawn back into the pattern of mutual self-giving love that is the ground of all reality. The commands of Scripture are not arbitrary impositions on creatures who would otherwise be free. They are descriptions of the life that creatures were made to live, the life that is already lived, in its fullness and perfection, in the eternal communion of Father, Son, and Holy Spirit.</w:t>
      </w:r>
    </w:p>
    <w:p w14:paraId="58EFA2F2" w14:textId="77777777" w:rsidR="00274A73" w:rsidRPr="00850CC8" w:rsidRDefault="00274A73" w:rsidP="00850CC8">
      <w:pPr>
        <w:spacing w:line="276" w:lineRule="auto"/>
        <w:rPr>
          <w:rFonts w:ascii="Times New Roman" w:hAnsi="Times New Roman" w:cs="Times New Roman"/>
          <w:sz w:val="22"/>
          <w:szCs w:val="22"/>
        </w:rPr>
      </w:pPr>
    </w:p>
    <w:p w14:paraId="7C4AFF78" w14:textId="77777777" w:rsidR="00274A73" w:rsidRPr="00850CC8" w:rsidRDefault="00274A73"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The next chapter turns from the character of God to the character of the creatures made to bear his image, and asks what the relational constitution of humanity actually means for how we understand the moral life.</w:t>
      </w:r>
    </w:p>
    <w:p w14:paraId="64378B76" w14:textId="77777777" w:rsidR="00274A73" w:rsidRPr="00850CC8" w:rsidRDefault="00274A73" w:rsidP="00850CC8">
      <w:pPr>
        <w:spacing w:line="276" w:lineRule="auto"/>
        <w:rPr>
          <w:rFonts w:ascii="Times New Roman" w:hAnsi="Times New Roman" w:cs="Times New Roman"/>
          <w:sz w:val="22"/>
          <w:szCs w:val="22"/>
        </w:rPr>
      </w:pPr>
    </w:p>
    <w:p w14:paraId="41EE2B39" w14:textId="77777777" w:rsidR="00274A73" w:rsidRPr="00850CC8" w:rsidRDefault="00274A73" w:rsidP="00850CC8">
      <w:pPr>
        <w:spacing w:line="276" w:lineRule="auto"/>
        <w:rPr>
          <w:rFonts w:ascii="Times New Roman" w:hAnsi="Times New Roman" w:cs="Times New Roman"/>
          <w:sz w:val="22"/>
          <w:szCs w:val="22"/>
        </w:rPr>
      </w:pPr>
    </w:p>
    <w:p w14:paraId="68FCFF20" w14:textId="77777777" w:rsidR="00274A73" w:rsidRPr="00850CC8" w:rsidRDefault="00274A73" w:rsidP="00850CC8">
      <w:pPr>
        <w:spacing w:before="480" w:after="240" w:line="276" w:lineRule="auto"/>
        <w:rPr>
          <w:rFonts w:ascii="Times New Roman" w:hAnsi="Times New Roman" w:cs="Times New Roman"/>
          <w:sz w:val="22"/>
          <w:szCs w:val="22"/>
        </w:rPr>
      </w:pPr>
      <w:r>
        <w:rPr>
          <w:rFonts w:ascii="Times New Roman" w:hAnsi="Times New Roman" w:cs="Times New Roman"/>
          <w:b/>
          <w:bCs/>
          <w:sz w:val="22"/>
          <w:szCs w:val="22"/>
        </w:rPr>
        <w:t>Notes</w:t>
      </w:r>
    </w:p>
    <w:p w14:paraId="4CD44B29" w14:textId="77777777" w:rsidR="00274A73" w:rsidRPr="00850CC8" w:rsidRDefault="00274A73" w:rsidP="00850CC8">
      <w:pPr>
        <w:spacing w:before="120" w:line="276" w:lineRule="auto"/>
        <w:ind w:firstLine="720"/>
        <w:jc w:val="both"/>
        <w:rPr>
          <w:rFonts w:ascii="Times New Roman" w:hAnsi="Times New Roman" w:cs="Times New Roman"/>
          <w:sz w:val="22"/>
          <w:szCs w:val="22"/>
        </w:rPr>
      </w:pPr>
      <w:r>
        <w:rPr>
          <w:rFonts w:ascii="Times New Roman" w:hAnsi="Times New Roman" w:cs="Times New Roman"/>
          <w:sz w:val="22"/>
          <w:szCs w:val="22"/>
        </w:rPr>
        <w:t xml:space="preserve">1. The three broad positions sketched here correspond roughly to constructivism, contractualism, and non-naturalist moral realism. For a clear philosophical taxonomy, see Russ Shafer-Landau, </w:t>
      </w:r>
      <w:r>
        <w:rPr>
          <w:rFonts w:ascii="Times New Roman" w:hAnsi="Times New Roman" w:cs="Times New Roman"/>
          <w:i/>
          <w:iCs/>
          <w:sz w:val="22"/>
          <w:szCs w:val="22"/>
        </w:rPr>
        <w:t>Moral Realism: A Defence</w:t>
      </w:r>
      <w:r>
        <w:rPr>
          <w:rFonts w:ascii="Times New Roman" w:hAnsi="Times New Roman" w:cs="Times New Roman"/>
          <w:sz w:val="22"/>
          <w:szCs w:val="22"/>
        </w:rPr>
        <w:t xml:space="preserve"> (Oxford: Oxford University Press, 2003), 1–25. The argument of this book is that Christian Trinitarian theology offers a fourth alternative: morality grounded in the character of a personal God, which is neither arbitrary divine command nor a free-floating set of moral facts.</w:t>
      </w:r>
    </w:p>
    <w:p w14:paraId="07544A40" w14:textId="77777777" w:rsidR="00274A73" w:rsidRPr="00850CC8" w:rsidRDefault="00274A73" w:rsidP="00850CC8">
      <w:pPr>
        <w:spacing w:line="276" w:lineRule="auto"/>
        <w:rPr>
          <w:rFonts w:ascii="Times New Roman" w:hAnsi="Times New Roman" w:cs="Times New Roman"/>
          <w:sz w:val="22"/>
          <w:szCs w:val="22"/>
        </w:rPr>
      </w:pPr>
    </w:p>
    <w:p w14:paraId="47B1315F" w14:textId="77777777" w:rsidR="00274A73" w:rsidRPr="00850CC8" w:rsidRDefault="00274A73" w:rsidP="00850CC8">
      <w:pPr>
        <w:spacing w:before="120" w:line="276" w:lineRule="auto"/>
        <w:ind w:firstLine="720"/>
        <w:jc w:val="both"/>
        <w:rPr>
          <w:rFonts w:ascii="Times New Roman" w:hAnsi="Times New Roman" w:cs="Times New Roman"/>
          <w:sz w:val="22"/>
          <w:szCs w:val="22"/>
        </w:rPr>
      </w:pPr>
      <w:r>
        <w:rPr>
          <w:rFonts w:ascii="Times New Roman" w:hAnsi="Times New Roman" w:cs="Times New Roman"/>
          <w:sz w:val="22"/>
          <w:szCs w:val="22"/>
        </w:rPr>
        <w:t xml:space="preserve">2. Plato, </w:t>
      </w:r>
      <w:r>
        <w:rPr>
          <w:rFonts w:ascii="Times New Roman" w:hAnsi="Times New Roman" w:cs="Times New Roman"/>
          <w:i/>
          <w:iCs/>
          <w:sz w:val="22"/>
          <w:szCs w:val="22"/>
        </w:rPr>
        <w:t>Euthyphro</w:t>
      </w:r>
      <w:r>
        <w:rPr>
          <w:rFonts w:ascii="Times New Roman" w:hAnsi="Times New Roman" w:cs="Times New Roman"/>
          <w:sz w:val="22"/>
          <w:szCs w:val="22"/>
        </w:rPr>
        <w:t xml:space="preserve">, 10a. The dilemma as Plato poses it concerns the gods of Greek religion, not the God of Christian theology, but it has been widely applied to any divine command theory of morality. For a careful analysis of how the dilemma does and does not apply to Christian theism, see William J. Wainwright, </w:t>
      </w:r>
      <w:r>
        <w:rPr>
          <w:rFonts w:ascii="Times New Roman" w:hAnsi="Times New Roman" w:cs="Times New Roman"/>
          <w:i/>
          <w:iCs/>
          <w:sz w:val="22"/>
          <w:szCs w:val="22"/>
        </w:rPr>
        <w:t>Religion and Morality</w:t>
      </w:r>
      <w:r>
        <w:rPr>
          <w:rFonts w:ascii="Times New Roman" w:hAnsi="Times New Roman" w:cs="Times New Roman"/>
          <w:sz w:val="22"/>
          <w:szCs w:val="22"/>
        </w:rPr>
        <w:t xml:space="preserve"> (Burlington: Ashgate, 2005), 1–47.</w:t>
      </w:r>
    </w:p>
    <w:p w14:paraId="73BFE539" w14:textId="77777777" w:rsidR="00274A73" w:rsidRPr="00850CC8" w:rsidRDefault="00274A73" w:rsidP="00850CC8">
      <w:pPr>
        <w:spacing w:line="276" w:lineRule="auto"/>
        <w:rPr>
          <w:rFonts w:ascii="Times New Roman" w:hAnsi="Times New Roman" w:cs="Times New Roman"/>
          <w:sz w:val="22"/>
          <w:szCs w:val="22"/>
        </w:rPr>
      </w:pPr>
    </w:p>
    <w:p w14:paraId="23C9A223" w14:textId="77777777" w:rsidR="00274A73" w:rsidRPr="00850CC8" w:rsidRDefault="00274A73" w:rsidP="00850CC8">
      <w:pPr>
        <w:spacing w:before="120" w:line="276" w:lineRule="auto"/>
        <w:ind w:firstLine="720"/>
        <w:jc w:val="both"/>
        <w:rPr>
          <w:rFonts w:ascii="Times New Roman" w:hAnsi="Times New Roman" w:cs="Times New Roman"/>
          <w:sz w:val="22"/>
          <w:szCs w:val="22"/>
        </w:rPr>
      </w:pPr>
      <w:r>
        <w:rPr>
          <w:rFonts w:ascii="Times New Roman" w:hAnsi="Times New Roman" w:cs="Times New Roman"/>
          <w:sz w:val="22"/>
          <w:szCs w:val="22"/>
        </w:rPr>
        <w:t xml:space="preserve">3. Robert M. Adams, </w:t>
      </w:r>
      <w:r>
        <w:rPr>
          <w:rFonts w:ascii="Times New Roman" w:hAnsi="Times New Roman" w:cs="Times New Roman"/>
          <w:i/>
          <w:iCs/>
          <w:sz w:val="22"/>
          <w:szCs w:val="22"/>
        </w:rPr>
        <w:t>Finite and Infinite Goods: A Framework for Ethics</w:t>
      </w:r>
      <w:r>
        <w:rPr>
          <w:rFonts w:ascii="Times New Roman" w:hAnsi="Times New Roman" w:cs="Times New Roman"/>
          <w:sz w:val="22"/>
          <w:szCs w:val="22"/>
        </w:rPr>
        <w:t xml:space="preserve"> (Oxford: Oxford University Press, 1999), 28–46; C. Stephen Evans, </w:t>
      </w:r>
      <w:r>
        <w:rPr>
          <w:rFonts w:ascii="Times New Roman" w:hAnsi="Times New Roman" w:cs="Times New Roman"/>
          <w:i/>
          <w:iCs/>
          <w:sz w:val="22"/>
          <w:szCs w:val="22"/>
        </w:rPr>
        <w:t>God and Moral Obligation</w:t>
      </w:r>
      <w:r>
        <w:rPr>
          <w:rFonts w:ascii="Times New Roman" w:hAnsi="Times New Roman" w:cs="Times New Roman"/>
          <w:sz w:val="22"/>
          <w:szCs w:val="22"/>
        </w:rPr>
        <w:t xml:space="preserve"> (Oxford: Oxford University Press, 2013), 70–99. Both Adams and Evans argue for versions of what is sometimes called the “divine nature theory,” on which moral goodness is identified with God’s nature rather than with the content of particular divine commands. The natural law tradition’s account is developed most fully in Aquinas, </w:t>
      </w:r>
      <w:r>
        <w:rPr>
          <w:rFonts w:ascii="Times New Roman" w:hAnsi="Times New Roman" w:cs="Times New Roman"/>
          <w:i/>
          <w:iCs/>
          <w:sz w:val="22"/>
          <w:szCs w:val="22"/>
        </w:rPr>
        <w:t>Summa Theologiae</w:t>
      </w:r>
      <w:r>
        <w:rPr>
          <w:rFonts w:ascii="Times New Roman" w:hAnsi="Times New Roman" w:cs="Times New Roman"/>
          <w:sz w:val="22"/>
          <w:szCs w:val="22"/>
        </w:rPr>
        <w:t xml:space="preserve"> I–II, qq. 90–94. For a rigorous contemporary development, see John Finnis, </w:t>
      </w:r>
      <w:r>
        <w:rPr>
          <w:rFonts w:ascii="Times New Roman" w:hAnsi="Times New Roman" w:cs="Times New Roman"/>
          <w:i/>
          <w:iCs/>
          <w:sz w:val="22"/>
          <w:szCs w:val="22"/>
        </w:rPr>
        <w:t>Natural Law and Natural Rights</w:t>
      </w:r>
      <w:r>
        <w:rPr>
          <w:rFonts w:ascii="Times New Roman" w:hAnsi="Times New Roman" w:cs="Times New Roman"/>
          <w:sz w:val="22"/>
          <w:szCs w:val="22"/>
        </w:rPr>
        <w:t xml:space="preserve"> (Oxford: Clarendon Press, 1980), especially chapters III–IV. For an accessible evangelical engagement, see J. Budziszewski, </w:t>
      </w:r>
      <w:r>
        <w:rPr>
          <w:rFonts w:ascii="Times New Roman" w:hAnsi="Times New Roman" w:cs="Times New Roman"/>
          <w:i/>
          <w:iCs/>
          <w:sz w:val="22"/>
          <w:szCs w:val="22"/>
        </w:rPr>
        <w:t>Written on the Heart: The Case for Natural Law</w:t>
      </w:r>
      <w:r>
        <w:rPr>
          <w:rFonts w:ascii="Times New Roman" w:hAnsi="Times New Roman" w:cs="Times New Roman"/>
          <w:sz w:val="22"/>
          <w:szCs w:val="22"/>
        </w:rPr>
        <w:t xml:space="preserve"> (Downers Grove: InterVarsity Press, 1997).</w:t>
      </w:r>
    </w:p>
    <w:p w14:paraId="095DD7E2" w14:textId="77777777" w:rsidR="00274A73" w:rsidRPr="00850CC8" w:rsidRDefault="00274A73" w:rsidP="00850CC8">
      <w:pPr>
        <w:spacing w:line="276" w:lineRule="auto"/>
        <w:rPr>
          <w:rFonts w:ascii="Times New Roman" w:hAnsi="Times New Roman" w:cs="Times New Roman"/>
          <w:sz w:val="22"/>
          <w:szCs w:val="22"/>
        </w:rPr>
      </w:pPr>
    </w:p>
    <w:p w14:paraId="702FB14C" w14:textId="77777777" w:rsidR="00274A73" w:rsidRPr="00850CC8" w:rsidRDefault="00274A73" w:rsidP="00850CC8">
      <w:pPr>
        <w:spacing w:before="120" w:line="276" w:lineRule="auto"/>
        <w:ind w:firstLine="720"/>
        <w:jc w:val="both"/>
        <w:rPr>
          <w:rFonts w:ascii="Times New Roman" w:hAnsi="Times New Roman" w:cs="Times New Roman"/>
          <w:sz w:val="22"/>
          <w:szCs w:val="22"/>
        </w:rPr>
      </w:pPr>
      <w:r>
        <w:rPr>
          <w:rFonts w:ascii="Times New Roman" w:hAnsi="Times New Roman" w:cs="Times New Roman"/>
          <w:sz w:val="22"/>
          <w:szCs w:val="22"/>
        </w:rPr>
        <w:t>4. The presence of what scholars call “divine agent” or “hypostatic” figures in the Old Testament, including the Word (</w:t>
      </w:r>
      <w:r>
        <w:rPr>
          <w:rFonts w:ascii="Times New Roman" w:hAnsi="Times New Roman" w:cs="Times New Roman"/>
          <w:i/>
          <w:iCs/>
          <w:sz w:val="22"/>
          <w:szCs w:val="22"/>
        </w:rPr>
        <w:t>dabar</w:t>
      </w:r>
      <w:r>
        <w:rPr>
          <w:rFonts w:ascii="Times New Roman" w:hAnsi="Times New Roman" w:cs="Times New Roman"/>
          <w:sz w:val="22"/>
          <w:szCs w:val="22"/>
        </w:rPr>
        <w:t>), the Spirit (</w:t>
      </w:r>
      <w:r>
        <w:rPr>
          <w:rFonts w:ascii="Times New Roman" w:hAnsi="Times New Roman" w:cs="Times New Roman"/>
          <w:i/>
          <w:iCs/>
          <w:sz w:val="22"/>
          <w:szCs w:val="22"/>
        </w:rPr>
        <w:t>ruach</w:t>
      </w:r>
      <w:r>
        <w:rPr>
          <w:rFonts w:ascii="Times New Roman" w:hAnsi="Times New Roman" w:cs="Times New Roman"/>
          <w:sz w:val="22"/>
          <w:szCs w:val="22"/>
        </w:rPr>
        <w:t>), Wisdom (</w:t>
      </w:r>
      <w:r>
        <w:rPr>
          <w:rFonts w:ascii="Times New Roman" w:hAnsi="Times New Roman" w:cs="Times New Roman"/>
          <w:i/>
          <w:iCs/>
          <w:sz w:val="22"/>
          <w:szCs w:val="22"/>
        </w:rPr>
        <w:t>hokmah</w:t>
      </w:r>
      <w:r>
        <w:rPr>
          <w:rFonts w:ascii="Times New Roman" w:hAnsi="Times New Roman" w:cs="Times New Roman"/>
          <w:sz w:val="22"/>
          <w:szCs w:val="22"/>
        </w:rPr>
        <w:t xml:space="preserve">), and the Angel of the LORD, has been extensively studied in the context of Second Temple Judaism and early Christology. For the relevant background, see Larry Hurtado, </w:t>
      </w:r>
      <w:r>
        <w:rPr>
          <w:rFonts w:ascii="Times New Roman" w:hAnsi="Times New Roman" w:cs="Times New Roman"/>
          <w:i/>
          <w:iCs/>
          <w:sz w:val="22"/>
          <w:szCs w:val="22"/>
        </w:rPr>
        <w:t>Lord Jesus Christ: Devotion to Jesus in Earliest Christianity</w:t>
      </w:r>
      <w:r>
        <w:rPr>
          <w:rFonts w:ascii="Times New Roman" w:hAnsi="Times New Roman" w:cs="Times New Roman"/>
          <w:sz w:val="22"/>
          <w:szCs w:val="22"/>
        </w:rPr>
        <w:t xml:space="preserve"> (Grand Rapids: Eerdmans, 2003), 29–78. Michael Heiser’s work on the divine council provides additional context: </w:t>
        <w:lastRenderedPageBreak/>
        <w:t xml:space="preserve">see </w:t>
      </w:r>
      <w:r>
        <w:rPr>
          <w:rFonts w:ascii="Times New Roman" w:hAnsi="Times New Roman" w:cs="Times New Roman"/>
          <w:i/>
          <w:iCs/>
          <w:sz w:val="22"/>
          <w:szCs w:val="22"/>
        </w:rPr>
        <w:t>The Unseen Realm: Recovering the Supernatural Worldview of the Bible</w:t>
      </w:r>
      <w:r>
        <w:rPr>
          <w:rFonts w:ascii="Times New Roman" w:hAnsi="Times New Roman" w:cs="Times New Roman"/>
          <w:sz w:val="22"/>
          <w:szCs w:val="22"/>
        </w:rPr>
        <w:t xml:space="preserve"> (Bellingham: Lexham Press, 2015), 23–41.</w:t>
      </w:r>
    </w:p>
    <w:p w14:paraId="70B1934A" w14:textId="77777777" w:rsidR="00274A73" w:rsidRPr="00850CC8" w:rsidRDefault="00274A73" w:rsidP="00850CC8">
      <w:pPr>
        <w:spacing w:line="276" w:lineRule="auto"/>
        <w:rPr>
          <w:rFonts w:ascii="Times New Roman" w:hAnsi="Times New Roman" w:cs="Times New Roman"/>
          <w:sz w:val="22"/>
          <w:szCs w:val="22"/>
        </w:rPr>
      </w:pPr>
    </w:p>
    <w:p w14:paraId="676C6043" w14:textId="77777777" w:rsidR="00274A73" w:rsidRPr="00850CC8" w:rsidRDefault="00274A73" w:rsidP="00850CC8">
      <w:pPr>
        <w:spacing w:before="120" w:line="276" w:lineRule="auto"/>
        <w:ind w:firstLine="720"/>
        <w:jc w:val="both"/>
        <w:rPr>
          <w:rFonts w:ascii="Times New Roman" w:hAnsi="Times New Roman" w:cs="Times New Roman"/>
          <w:sz w:val="22"/>
          <w:szCs w:val="22"/>
        </w:rPr>
      </w:pPr>
      <w:r>
        <w:rPr>
          <w:rFonts w:ascii="Times New Roman" w:hAnsi="Times New Roman" w:cs="Times New Roman"/>
          <w:sz w:val="22"/>
          <w:szCs w:val="22"/>
        </w:rPr>
        <w:t xml:space="preserve">5. The fourth-century Trinitarian debates are summarized accessibly in Justo L. González, </w:t>
      </w:r>
      <w:r>
        <w:rPr>
          <w:rFonts w:ascii="Times New Roman" w:hAnsi="Times New Roman" w:cs="Times New Roman"/>
          <w:i/>
          <w:iCs/>
          <w:sz w:val="22"/>
          <w:szCs w:val="22"/>
        </w:rPr>
        <w:t>The Story of Christianity</w:t>
      </w:r>
      <w:r>
        <w:rPr>
          <w:rFonts w:ascii="Times New Roman" w:hAnsi="Times New Roman" w:cs="Times New Roman"/>
          <w:sz w:val="22"/>
          <w:szCs w:val="22"/>
        </w:rPr>
        <w:t xml:space="preserve">, vol. 1 (New York: HarperOne, 2010), 161–87. The technical vocabulary is analyzed in Lewis Ayres, </w:t>
      </w:r>
      <w:r>
        <w:rPr>
          <w:rFonts w:ascii="Times New Roman" w:hAnsi="Times New Roman" w:cs="Times New Roman"/>
          <w:i/>
          <w:iCs/>
          <w:sz w:val="22"/>
          <w:szCs w:val="22"/>
        </w:rPr>
        <w:t>Nicaea and Its Legacy: An Approach to Fourth-Century Trinitarian Theology</w:t>
      </w:r>
      <w:r>
        <w:rPr>
          <w:rFonts w:ascii="Times New Roman" w:hAnsi="Times New Roman" w:cs="Times New Roman"/>
          <w:sz w:val="22"/>
          <w:szCs w:val="22"/>
        </w:rPr>
        <w:t xml:space="preserve"> (Oxford: Oxford University Press, 2004), which is the standard scholarly treatment.</w:t>
      </w:r>
    </w:p>
    <w:p w14:paraId="43B5D736" w14:textId="77777777" w:rsidR="00274A73" w:rsidRPr="00850CC8" w:rsidRDefault="00274A73" w:rsidP="00850CC8">
      <w:pPr>
        <w:spacing w:line="276" w:lineRule="auto"/>
        <w:rPr>
          <w:rFonts w:ascii="Times New Roman" w:hAnsi="Times New Roman" w:cs="Times New Roman"/>
          <w:sz w:val="22"/>
          <w:szCs w:val="22"/>
        </w:rPr>
      </w:pPr>
    </w:p>
    <w:p w14:paraId="320E0989" w14:textId="77777777" w:rsidR="00274A73" w:rsidRPr="00850CC8" w:rsidRDefault="00274A73" w:rsidP="00850CC8">
      <w:pPr>
        <w:spacing w:before="120" w:line="276" w:lineRule="auto"/>
        <w:ind w:firstLine="720"/>
        <w:jc w:val="both"/>
        <w:rPr>
          <w:rFonts w:ascii="Times New Roman" w:hAnsi="Times New Roman" w:cs="Times New Roman"/>
          <w:sz w:val="22"/>
          <w:szCs w:val="22"/>
        </w:rPr>
      </w:pPr>
      <w:r>
        <w:rPr>
          <w:rFonts w:ascii="Times New Roman" w:hAnsi="Times New Roman" w:cs="Times New Roman"/>
          <w:sz w:val="22"/>
          <w:szCs w:val="22"/>
        </w:rPr>
        <w:t xml:space="preserve">6. The term </w:t>
      </w:r>
      <w:r>
        <w:rPr>
          <w:rFonts w:ascii="Times New Roman" w:hAnsi="Times New Roman" w:cs="Times New Roman"/>
          <w:i/>
          <w:iCs/>
          <w:sz w:val="22"/>
          <w:szCs w:val="22"/>
        </w:rPr>
        <w:t>perichoresis</w:t>
      </w:r>
      <w:r>
        <w:rPr>
          <w:rFonts w:ascii="Times New Roman" w:hAnsi="Times New Roman" w:cs="Times New Roman"/>
          <w:sz w:val="22"/>
          <w:szCs w:val="22"/>
        </w:rPr>
        <w:t xml:space="preserve"> (Latin: </w:t>
      </w:r>
      <w:r>
        <w:rPr>
          <w:rFonts w:ascii="Times New Roman" w:hAnsi="Times New Roman" w:cs="Times New Roman"/>
          <w:i/>
          <w:iCs/>
          <w:sz w:val="22"/>
          <w:szCs w:val="22"/>
        </w:rPr>
        <w:t>circumincessio</w:t>
      </w:r>
      <w:r>
        <w:rPr>
          <w:rFonts w:ascii="Times New Roman" w:hAnsi="Times New Roman" w:cs="Times New Roman"/>
          <w:sz w:val="22"/>
          <w:szCs w:val="22"/>
        </w:rPr>
        <w:t xml:space="preserve">) was developed by John of Damascus in the eighth century. See John of Damascus, </w:t>
      </w:r>
      <w:r>
        <w:rPr>
          <w:rFonts w:ascii="Times New Roman" w:hAnsi="Times New Roman" w:cs="Times New Roman"/>
          <w:i/>
          <w:iCs/>
          <w:sz w:val="22"/>
          <w:szCs w:val="22"/>
        </w:rPr>
        <w:t>An Exposition of the Orthodox Faith</w:t>
      </w:r>
      <w:r>
        <w:rPr>
          <w:rFonts w:ascii="Times New Roman" w:hAnsi="Times New Roman" w:cs="Times New Roman"/>
          <w:sz w:val="22"/>
          <w:szCs w:val="22"/>
        </w:rPr>
        <w:t xml:space="preserve">, 1.8, in </w:t>
      </w:r>
      <w:r>
        <w:rPr>
          <w:rFonts w:ascii="Times New Roman" w:hAnsi="Times New Roman" w:cs="Times New Roman"/>
          <w:i/>
          <w:iCs/>
          <w:sz w:val="22"/>
          <w:szCs w:val="22"/>
        </w:rPr>
        <w:t>Nicene and Post-Nicene Fathers</w:t>
      </w:r>
      <w:r>
        <w:rPr>
          <w:rFonts w:ascii="Times New Roman" w:hAnsi="Times New Roman" w:cs="Times New Roman"/>
          <w:sz w:val="22"/>
          <w:szCs w:val="22"/>
        </w:rPr>
        <w:t>, Second Series, vol. 9, ed. Philip Schaff and Henry Wace (Buffalo: Christian Literature Publishing, 1899). The concept is implicit in the Johannine language of mutual indwelling: “I am in the Father and the Father is in me” (John 14:11).</w:t>
      </w:r>
    </w:p>
    <w:p w14:paraId="5F909B38" w14:textId="77777777" w:rsidR="00274A73" w:rsidRPr="00850CC8" w:rsidRDefault="00274A73" w:rsidP="00850CC8">
      <w:pPr>
        <w:spacing w:line="276" w:lineRule="auto"/>
        <w:rPr>
          <w:rFonts w:ascii="Times New Roman" w:hAnsi="Times New Roman" w:cs="Times New Roman"/>
          <w:sz w:val="22"/>
          <w:szCs w:val="22"/>
        </w:rPr>
      </w:pPr>
    </w:p>
    <w:p w14:paraId="499F9400" w14:textId="77777777" w:rsidR="00274A73" w:rsidRPr="00850CC8" w:rsidRDefault="00274A73" w:rsidP="00850CC8">
      <w:pPr>
        <w:spacing w:before="120" w:line="276" w:lineRule="auto"/>
        <w:ind w:firstLine="720"/>
        <w:jc w:val="both"/>
        <w:rPr>
          <w:rFonts w:ascii="Times New Roman" w:hAnsi="Times New Roman" w:cs="Times New Roman"/>
          <w:sz w:val="22"/>
          <w:szCs w:val="22"/>
        </w:rPr>
      </w:pPr>
      <w:r>
        <w:rPr>
          <w:rFonts w:ascii="Times New Roman" w:hAnsi="Times New Roman" w:cs="Times New Roman"/>
          <w:sz w:val="22"/>
          <w:szCs w:val="22"/>
        </w:rPr>
        <w:t xml:space="preserve">7. Augustine, </w:t>
      </w:r>
      <w:r>
        <w:rPr>
          <w:rFonts w:ascii="Times New Roman" w:hAnsi="Times New Roman" w:cs="Times New Roman"/>
          <w:i/>
          <w:iCs/>
          <w:sz w:val="22"/>
          <w:szCs w:val="22"/>
        </w:rPr>
        <w:t>De Trinitate</w:t>
      </w:r>
      <w:r>
        <w:rPr>
          <w:rFonts w:ascii="Times New Roman" w:hAnsi="Times New Roman" w:cs="Times New Roman"/>
          <w:sz w:val="22"/>
          <w:szCs w:val="22"/>
        </w:rPr>
        <w:t>, 9.2–12, trans. Edmund Hill (Brooklyn: New City Press, 1991). Augustine’s memory-understanding-will analogy is developed at length in books 10 through 15. Both analogies are acknowledged by Augustine to be imperfect and to require significant qualification.</w:t>
      </w:r>
    </w:p>
    <w:p w14:paraId="09FDA9FB" w14:textId="77777777" w:rsidR="00274A73" w:rsidRPr="00850CC8" w:rsidRDefault="00274A73" w:rsidP="00850CC8">
      <w:pPr>
        <w:spacing w:line="276" w:lineRule="auto"/>
        <w:rPr>
          <w:rFonts w:ascii="Times New Roman" w:hAnsi="Times New Roman" w:cs="Times New Roman"/>
          <w:sz w:val="22"/>
          <w:szCs w:val="22"/>
        </w:rPr>
      </w:pPr>
    </w:p>
    <w:p w14:paraId="636EBDD3" w14:textId="77777777" w:rsidR="00274A73" w:rsidRPr="00850CC8" w:rsidRDefault="00274A73" w:rsidP="00850CC8">
      <w:pPr>
        <w:spacing w:before="120" w:line="276" w:lineRule="auto"/>
        <w:ind w:firstLine="720"/>
        <w:jc w:val="both"/>
        <w:rPr>
          <w:rFonts w:ascii="Times New Roman" w:hAnsi="Times New Roman" w:cs="Times New Roman"/>
          <w:sz w:val="22"/>
          <w:szCs w:val="22"/>
        </w:rPr>
      </w:pPr>
      <w:r>
        <w:rPr>
          <w:rFonts w:ascii="Times New Roman" w:hAnsi="Times New Roman" w:cs="Times New Roman"/>
          <w:sz w:val="22"/>
          <w:szCs w:val="22"/>
        </w:rPr>
        <w:t xml:space="preserve">8. The contrast between the “Latin” or “Western” approach and the “Greek” or “Eastern” approach has been significantly complicated by recent scholarship. Lewis Ayres’s </w:t>
      </w:r>
      <w:r>
        <w:rPr>
          <w:rFonts w:ascii="Times New Roman" w:hAnsi="Times New Roman" w:cs="Times New Roman"/>
          <w:i/>
          <w:iCs/>
          <w:sz w:val="22"/>
          <w:szCs w:val="22"/>
        </w:rPr>
        <w:t>Nicaea and Its Legacy</w:t>
      </w:r>
      <w:r>
        <w:rPr>
          <w:rFonts w:ascii="Times New Roman" w:hAnsi="Times New Roman" w:cs="Times New Roman"/>
          <w:sz w:val="22"/>
          <w:szCs w:val="22"/>
        </w:rPr>
        <w:t xml:space="preserve"> argues that the contrast is largely a modern construction. Thomas H. McCall, </w:t>
      </w:r>
      <w:r>
        <w:rPr>
          <w:rFonts w:ascii="Times New Roman" w:hAnsi="Times New Roman" w:cs="Times New Roman"/>
          <w:i/>
          <w:iCs/>
          <w:sz w:val="22"/>
          <w:szCs w:val="22"/>
        </w:rPr>
        <w:t>Which Trinity? Whose Monotheism?</w:t>
      </w:r>
      <w:r>
        <w:rPr>
          <w:rFonts w:ascii="Times New Roman" w:hAnsi="Times New Roman" w:cs="Times New Roman"/>
          <w:sz w:val="22"/>
          <w:szCs w:val="22"/>
        </w:rPr>
        <w:t xml:space="preserve"> (Grand Rapids: Eerdmans, 2010) provides a careful analysis of the contemporary debate between “social” and “anti-social” versions of Trinitarian theology.</w:t>
      </w:r>
    </w:p>
    <w:p w14:paraId="2A7537F9" w14:textId="77777777" w:rsidR="00274A73" w:rsidRPr="00850CC8" w:rsidRDefault="00274A73" w:rsidP="00850CC8">
      <w:pPr>
        <w:spacing w:line="276" w:lineRule="auto"/>
        <w:rPr>
          <w:rFonts w:ascii="Times New Roman" w:hAnsi="Times New Roman" w:cs="Times New Roman"/>
          <w:sz w:val="22"/>
          <w:szCs w:val="22"/>
        </w:rPr>
      </w:pPr>
    </w:p>
    <w:p w14:paraId="6DF109A5" w14:textId="77777777" w:rsidR="00274A73" w:rsidRPr="00850CC8" w:rsidRDefault="00274A73" w:rsidP="00850CC8">
      <w:pPr>
        <w:spacing w:before="120" w:line="276" w:lineRule="auto"/>
        <w:ind w:firstLine="720"/>
        <w:jc w:val="both"/>
        <w:rPr>
          <w:rFonts w:ascii="Times New Roman" w:hAnsi="Times New Roman" w:cs="Times New Roman"/>
          <w:sz w:val="22"/>
          <w:szCs w:val="22"/>
        </w:rPr>
      </w:pPr>
      <w:r>
        <w:rPr>
          <w:rFonts w:ascii="Times New Roman" w:hAnsi="Times New Roman" w:cs="Times New Roman"/>
          <w:sz w:val="22"/>
          <w:szCs w:val="22"/>
        </w:rPr>
        <w:t xml:space="preserve">9. John D. Zizioulas, </w:t>
      </w:r>
      <w:r>
        <w:rPr>
          <w:rFonts w:ascii="Times New Roman" w:hAnsi="Times New Roman" w:cs="Times New Roman"/>
          <w:i/>
          <w:iCs/>
          <w:sz w:val="22"/>
          <w:szCs w:val="22"/>
        </w:rPr>
        <w:t>Being as Communion: Studies in Personhood and the Church</w:t>
      </w:r>
      <w:r>
        <w:rPr>
          <w:rFonts w:ascii="Times New Roman" w:hAnsi="Times New Roman" w:cs="Times New Roman"/>
          <w:sz w:val="22"/>
          <w:szCs w:val="22"/>
        </w:rPr>
        <w:t xml:space="preserve"> (Crestwood, NY: St. Vladimir’s Seminary Press, 1985), 27–65. For a critical engagement that finds Zizioulas helpful but in need of qualification, see Paul S. Fiddes, </w:t>
      </w:r>
      <w:r>
        <w:rPr>
          <w:rFonts w:ascii="Times New Roman" w:hAnsi="Times New Roman" w:cs="Times New Roman"/>
          <w:i/>
          <w:iCs/>
          <w:sz w:val="22"/>
          <w:szCs w:val="22"/>
        </w:rPr>
        <w:t>Participating in God: A Pastoral Doctrine of the Trinity</w:t>
      </w:r>
      <w:r>
        <w:rPr>
          <w:rFonts w:ascii="Times New Roman" w:hAnsi="Times New Roman" w:cs="Times New Roman"/>
          <w:sz w:val="22"/>
          <w:szCs w:val="22"/>
        </w:rPr>
        <w:t xml:space="preserve"> (Louisville: Westminster John Knox, 2000), 44–72.</w:t>
      </w:r>
    </w:p>
    <w:p w14:paraId="530BF600" w14:textId="77777777" w:rsidR="00274A73" w:rsidRPr="00850CC8" w:rsidRDefault="00274A73" w:rsidP="00850CC8">
      <w:pPr>
        <w:spacing w:line="276" w:lineRule="auto"/>
        <w:rPr>
          <w:rFonts w:ascii="Times New Roman" w:hAnsi="Times New Roman" w:cs="Times New Roman"/>
          <w:sz w:val="22"/>
          <w:szCs w:val="22"/>
        </w:rPr>
      </w:pPr>
    </w:p>
    <w:p w14:paraId="0CE94FF8" w14:textId="77777777" w:rsidR="00274A73" w:rsidRPr="00850CC8" w:rsidRDefault="00274A73" w:rsidP="00850CC8">
      <w:pPr>
        <w:spacing w:before="120" w:line="276" w:lineRule="auto"/>
        <w:ind w:firstLine="720"/>
        <w:jc w:val="both"/>
        <w:rPr>
          <w:rFonts w:ascii="Times New Roman" w:hAnsi="Times New Roman" w:cs="Times New Roman"/>
          <w:sz w:val="22"/>
          <w:szCs w:val="22"/>
        </w:rPr>
      </w:pPr>
      <w:r>
        <w:rPr>
          <w:rFonts w:ascii="Times New Roman" w:hAnsi="Times New Roman" w:cs="Times New Roman"/>
          <w:sz w:val="22"/>
          <w:szCs w:val="22"/>
        </w:rPr>
        <w:t xml:space="preserve">10. Colin E. Gunton, </w:t>
      </w:r>
      <w:r>
        <w:rPr>
          <w:rFonts w:ascii="Times New Roman" w:hAnsi="Times New Roman" w:cs="Times New Roman"/>
          <w:i/>
          <w:iCs/>
          <w:sz w:val="22"/>
          <w:szCs w:val="22"/>
        </w:rPr>
        <w:t>The One, the Three and the Many: God, Creation and the Culture of Modernity</w:t>
      </w:r>
      <w:r>
        <w:rPr>
          <w:rFonts w:ascii="Times New Roman" w:hAnsi="Times New Roman" w:cs="Times New Roman"/>
          <w:sz w:val="22"/>
          <w:szCs w:val="22"/>
        </w:rPr>
        <w:t xml:space="preserve"> (Cambridge: Cambridge University Press, 1993), 38–64. Gunton’s historical thesis, that Augustinian Trinitarianism contributed to Western individualism, has been challenged by scholars who read Augustine differently. The constructive point, that a theology of real Trinitarian relations generates a correspondingly relational anthropology, is more broadly accepted.</w:t>
      </w:r>
    </w:p>
    <w:p w14:paraId="6DAD9B22" w14:textId="77777777" w:rsidR="00274A73" w:rsidRPr="00850CC8" w:rsidRDefault="00274A73" w:rsidP="00850CC8">
      <w:pPr>
        <w:spacing w:line="276" w:lineRule="auto"/>
        <w:rPr>
          <w:rFonts w:ascii="Times New Roman" w:hAnsi="Times New Roman" w:cs="Times New Roman"/>
          <w:sz w:val="22"/>
          <w:szCs w:val="22"/>
        </w:rPr>
      </w:pPr>
    </w:p>
    <w:p w14:paraId="3825507A" w14:textId="77777777" w:rsidR="00274A73" w:rsidRPr="00850CC8" w:rsidRDefault="00274A73" w:rsidP="00850CC8">
      <w:pPr>
        <w:spacing w:before="120" w:line="276" w:lineRule="auto"/>
        <w:ind w:firstLine="720"/>
        <w:jc w:val="both"/>
        <w:rPr>
          <w:rFonts w:ascii="Times New Roman" w:hAnsi="Times New Roman" w:cs="Times New Roman"/>
          <w:sz w:val="22"/>
          <w:szCs w:val="22"/>
        </w:rPr>
      </w:pPr>
      <w:r>
        <w:rPr>
          <w:rFonts w:ascii="Times New Roman" w:hAnsi="Times New Roman" w:cs="Times New Roman"/>
          <w:sz w:val="22"/>
          <w:szCs w:val="22"/>
        </w:rPr>
        <w:t xml:space="preserve">11. The interpretation of “as yourself” as a structural inclusion of the self rather than a simple comparative is developed in detail in chapter five. The point has precedent in the rabbinic tradition: Hillel’s negative formulation, “What is hateful to you, do not do to your neighbor,” presupposes the same reflexive structure. See David Flusser, </w:t>
      </w:r>
      <w:r>
        <w:rPr>
          <w:rFonts w:ascii="Times New Roman" w:hAnsi="Times New Roman" w:cs="Times New Roman"/>
          <w:i/>
          <w:iCs/>
          <w:sz w:val="22"/>
          <w:szCs w:val="22"/>
        </w:rPr>
        <w:t>The Sage from Galilee: Rediscovering Jesus’ Genius</w:t>
      </w:r>
      <w:r>
        <w:rPr>
          <w:rFonts w:ascii="Times New Roman" w:hAnsi="Times New Roman" w:cs="Times New Roman"/>
          <w:sz w:val="22"/>
          <w:szCs w:val="22"/>
        </w:rPr>
        <w:t xml:space="preserve"> (Grand Rapids: Eerdmans, 2007), 62–68.</w:t>
      </w:r>
    </w:p>
    <w:p w14:paraId="0A8D2C2B" w14:textId="77777777" w:rsidR="00274A73" w:rsidRPr="00850CC8" w:rsidRDefault="00274A73" w:rsidP="00850CC8">
      <w:pPr>
        <w:spacing w:line="276" w:lineRule="auto"/>
        <w:rPr>
          <w:rFonts w:ascii="Times New Roman" w:hAnsi="Times New Roman" w:cs="Times New Roman"/>
          <w:sz w:val="22"/>
          <w:szCs w:val="22"/>
        </w:rPr>
      </w:pPr>
    </w:p>
    <w:p w14:paraId="64E42AE9" w14:textId="77777777" w:rsidR="00274A73" w:rsidRPr="00850CC8" w:rsidRDefault="00274A73" w:rsidP="00850CC8">
      <w:pPr>
        <w:spacing w:before="120" w:line="276" w:lineRule="auto"/>
        <w:ind w:firstLine="720"/>
        <w:jc w:val="both"/>
        <w:rPr>
          <w:rFonts w:ascii="Times New Roman" w:hAnsi="Times New Roman" w:cs="Times New Roman"/>
          <w:sz w:val="22"/>
          <w:szCs w:val="22"/>
        </w:rPr>
      </w:pPr>
      <w:r>
        <w:rPr>
          <w:rFonts w:ascii="Times New Roman" w:hAnsi="Times New Roman" w:cs="Times New Roman"/>
          <w:sz w:val="22"/>
          <w:szCs w:val="22"/>
        </w:rPr>
        <w:lastRenderedPageBreak/>
        <w:t xml:space="preserve">12. Jeffrey Wattles, </w:t>
      </w:r>
      <w:r>
        <w:rPr>
          <w:rFonts w:ascii="Times New Roman" w:hAnsi="Times New Roman" w:cs="Times New Roman"/>
          <w:i/>
          <w:iCs/>
          <w:sz w:val="22"/>
          <w:szCs w:val="22"/>
        </w:rPr>
        <w:t>The Golden Rule</w:t>
      </w:r>
      <w:r>
        <w:rPr>
          <w:rFonts w:ascii="Times New Roman" w:hAnsi="Times New Roman" w:cs="Times New Roman"/>
          <w:sz w:val="22"/>
          <w:szCs w:val="22"/>
        </w:rPr>
        <w:t xml:space="preserve"> (Oxford: Oxford University Press, 1996). Wattles traces the Rule from ancient Egypt and China through the Axial Age traditions and into contemporary ethics with impressive range. His conclusion, that the Rule functions across traditions as an invitation to a quality of moral attention rather than as a mechanical algorithm, is consistent with the present argument, though the theological grounding proposed here goes further than Wattles himself pursues.</w:t>
      </w:r>
    </w:p>
    <w:p w14:paraId="204F1CD0" w14:textId="77777777" w:rsidR="00274A73" w:rsidRPr="00850CC8" w:rsidRDefault="00274A73" w:rsidP="00850CC8">
      <w:pPr>
        <w:spacing w:line="276" w:lineRule="auto"/>
        <w:rPr>
          <w:rFonts w:ascii="Times New Roman" w:hAnsi="Times New Roman" w:cs="Times New Roman"/>
          <w:sz w:val="22"/>
          <w:szCs w:val="22"/>
        </w:rPr>
      </w:pPr>
    </w:p>
    <w:p w14:paraId="16112E2F" w14:textId="77777777" w:rsidR="00274A73" w:rsidRPr="00850CC8" w:rsidRDefault="00274A73" w:rsidP="00850CC8">
      <w:pPr>
        <w:spacing w:before="120" w:line="276" w:lineRule="auto"/>
        <w:ind w:firstLine="720"/>
        <w:jc w:val="both"/>
        <w:rPr>
          <w:rFonts w:ascii="Times New Roman" w:hAnsi="Times New Roman" w:cs="Times New Roman"/>
          <w:sz w:val="22"/>
          <w:szCs w:val="22"/>
        </w:rPr>
      </w:pPr>
      <w:r>
        <w:rPr>
          <w:rFonts w:ascii="Times New Roman" w:hAnsi="Times New Roman" w:cs="Times New Roman"/>
          <w:sz w:val="22"/>
          <w:szCs w:val="22"/>
        </w:rPr>
        <w:t xml:space="preserve">13. Miroslav Volf, </w:t>
      </w:r>
      <w:r>
        <w:rPr>
          <w:rFonts w:ascii="Times New Roman" w:hAnsi="Times New Roman" w:cs="Times New Roman"/>
          <w:i/>
          <w:iCs/>
          <w:sz w:val="22"/>
          <w:szCs w:val="22"/>
        </w:rPr>
        <w:t>Exclusion and Embrace: A Theological Exploration of Identity, Otherness, and Reconciliation</w:t>
      </w:r>
      <w:r>
        <w:rPr>
          <w:rFonts w:ascii="Times New Roman" w:hAnsi="Times New Roman" w:cs="Times New Roman"/>
          <w:sz w:val="22"/>
          <w:szCs w:val="22"/>
        </w:rPr>
        <w:t xml:space="preserve"> (Nashville: Abingdon Press, 1996), 100–165. His argument that embrace requires the “will to give ourselves to the other and welcome the other into ourselves” is a description of the perichoretic structure of Trinitarian love applied to human moral life, even when Volf does not use that language explicitly.</w:t>
      </w:r>
    </w:p>
    <w:p w14:paraId="2C2573A7" w14:textId="77777777" w:rsidR="00274A73" w:rsidRPr="00850CC8" w:rsidRDefault="00274A73" w:rsidP="00850CC8">
      <w:pPr>
        <w:spacing w:line="276" w:lineRule="auto"/>
        <w:rPr>
          <w:rFonts w:ascii="Times New Roman" w:hAnsi="Times New Roman" w:cs="Times New Roman"/>
          <w:sz w:val="22"/>
          <w:szCs w:val="22"/>
        </w:rPr>
      </w:pPr>
    </w:p>
    <w:p w14:paraId="33D29873" w14:textId="77777777" w:rsidR="00274A73" w:rsidRPr="00850CC8" w:rsidRDefault="00274A73" w:rsidP="00850CC8">
      <w:pPr>
        <w:spacing w:before="120" w:line="276" w:lineRule="auto"/>
        <w:ind w:firstLine="720"/>
        <w:jc w:val="both"/>
        <w:rPr>
          <w:rFonts w:ascii="Times New Roman" w:hAnsi="Times New Roman" w:cs="Times New Roman"/>
          <w:sz w:val="22"/>
          <w:szCs w:val="22"/>
        </w:rPr>
      </w:pPr>
      <w:r>
        <w:rPr>
          <w:rFonts w:ascii="Times New Roman" w:hAnsi="Times New Roman" w:cs="Times New Roman"/>
          <w:sz w:val="22"/>
          <w:szCs w:val="22"/>
        </w:rPr>
        <w:t xml:space="preserve">14. The classical statement of divine simplicity in Aquinas is </w:t>
      </w:r>
      <w:r>
        <w:rPr>
          <w:rFonts w:ascii="Times New Roman" w:hAnsi="Times New Roman" w:cs="Times New Roman"/>
          <w:i/>
          <w:iCs/>
          <w:sz w:val="22"/>
          <w:szCs w:val="22"/>
        </w:rPr>
        <w:t>Summa Theologiae</w:t>
      </w:r>
      <w:r>
        <w:rPr>
          <w:rFonts w:ascii="Times New Roman" w:hAnsi="Times New Roman" w:cs="Times New Roman"/>
          <w:sz w:val="22"/>
          <w:szCs w:val="22"/>
        </w:rPr>
        <w:t xml:space="preserve"> I, q. 3. For a contemporary defense, see Eleonore Stump, </w:t>
      </w:r>
      <w:r>
        <w:rPr>
          <w:rFonts w:ascii="Times New Roman" w:hAnsi="Times New Roman" w:cs="Times New Roman"/>
          <w:i/>
          <w:iCs/>
          <w:sz w:val="22"/>
          <w:szCs w:val="22"/>
        </w:rPr>
        <w:t>Aquinas</w:t>
      </w:r>
      <w:r>
        <w:rPr>
          <w:rFonts w:ascii="Times New Roman" w:hAnsi="Times New Roman" w:cs="Times New Roman"/>
          <w:sz w:val="22"/>
          <w:szCs w:val="22"/>
        </w:rPr>
        <w:t xml:space="preserve"> (London: Routledge, 2003), 92–130. For a critical engagement, see Alvin Plantinga, “Does God Have a Nature?” in </w:t>
      </w:r>
      <w:r>
        <w:rPr>
          <w:rFonts w:ascii="Times New Roman" w:hAnsi="Times New Roman" w:cs="Times New Roman"/>
          <w:i/>
          <w:iCs/>
          <w:sz w:val="22"/>
          <w:szCs w:val="22"/>
        </w:rPr>
        <w:t>The Analytic Theist: An Alvin Plantinga Reader</w:t>
      </w:r>
      <w:r>
        <w:rPr>
          <w:rFonts w:ascii="Times New Roman" w:hAnsi="Times New Roman" w:cs="Times New Roman"/>
          <w:sz w:val="22"/>
          <w:szCs w:val="22"/>
        </w:rPr>
        <w:t>, ed. James F. Sennett (Grand Rapids: Eerdmans, 1998), 225–62.</w:t>
      </w:r>
    </w:p>
    <w:p w14:paraId="312F31E5" w14:textId="77777777" w:rsidR="00274A73" w:rsidRPr="00850CC8" w:rsidRDefault="00274A73" w:rsidP="00850CC8">
      <w:pPr>
        <w:spacing w:line="276" w:lineRule="auto"/>
        <w:rPr>
          <w:rFonts w:ascii="Times New Roman" w:hAnsi="Times New Roman" w:cs="Times New Roman"/>
          <w:sz w:val="22"/>
          <w:szCs w:val="22"/>
        </w:rPr>
      </w:pPr>
    </w:p>
    <w:p w14:paraId="7A99E7EB" w14:textId="77777777" w:rsidR="00274A73" w:rsidRPr="00850CC8" w:rsidRDefault="00274A73" w:rsidP="00850CC8">
      <w:pPr>
        <w:spacing w:before="120" w:line="276" w:lineRule="auto"/>
        <w:ind w:firstLine="720"/>
        <w:jc w:val="both"/>
        <w:rPr>
          <w:rFonts w:ascii="Times New Roman" w:hAnsi="Times New Roman" w:cs="Times New Roman"/>
          <w:sz w:val="22"/>
          <w:szCs w:val="22"/>
        </w:rPr>
      </w:pPr>
      <w:r>
        <w:rPr>
          <w:rFonts w:ascii="Times New Roman" w:hAnsi="Times New Roman" w:cs="Times New Roman"/>
          <w:sz w:val="22"/>
          <w:szCs w:val="22"/>
        </w:rPr>
        <w:t xml:space="preserve">15. Augustine, </w:t>
      </w:r>
      <w:r>
        <w:rPr>
          <w:rFonts w:ascii="Times New Roman" w:hAnsi="Times New Roman" w:cs="Times New Roman"/>
          <w:i/>
          <w:iCs/>
          <w:sz w:val="22"/>
          <w:szCs w:val="22"/>
        </w:rPr>
        <w:t>De Trinitate</w:t>
      </w:r>
      <w:r>
        <w:rPr>
          <w:rFonts w:ascii="Times New Roman" w:hAnsi="Times New Roman" w:cs="Times New Roman"/>
          <w:sz w:val="22"/>
          <w:szCs w:val="22"/>
        </w:rPr>
        <w:t xml:space="preserve">, 8.10. The Lover-Beloved-Love formulation is significant precisely because it describes the Trinitarian relations in irreducibly personal and relational terms. For an analysis of the tension between Augustine’s commitment to divine simplicity and his account of real Trinitarian relations, see Michel René Barnes, “Augustine in Contemporary Trinitarian Theology,” </w:t>
      </w:r>
      <w:r>
        <w:rPr>
          <w:rFonts w:ascii="Times New Roman" w:hAnsi="Times New Roman" w:cs="Times New Roman"/>
          <w:i/>
          <w:iCs/>
          <w:sz w:val="22"/>
          <w:szCs w:val="22"/>
        </w:rPr>
        <w:t>Theological Studies</w:t>
      </w:r>
      <w:r>
        <w:rPr>
          <w:rFonts w:ascii="Times New Roman" w:hAnsi="Times New Roman" w:cs="Times New Roman"/>
          <w:sz w:val="22"/>
          <w:szCs w:val="22"/>
        </w:rPr>
        <w:t xml:space="preserve"> 56, no. 2 (1995): 237–50.</w:t>
      </w:r>
    </w:p>
    <w:p w14:paraId="7D631861" w14:textId="77777777" w:rsidR="00274A73" w:rsidRPr="00850CC8" w:rsidRDefault="00274A73" w:rsidP="00850CC8">
      <w:pPr>
        <w:spacing w:line="276" w:lineRule="auto"/>
        <w:rPr>
          <w:rFonts w:ascii="Times New Roman" w:hAnsi="Times New Roman" w:cs="Times New Roman"/>
          <w:sz w:val="22"/>
          <w:szCs w:val="22"/>
        </w:rPr>
      </w:pPr>
    </w:p>
    <w:p w14:paraId="5DAB44BC" w14:textId="77777777" w:rsidR="00274A73" w:rsidRPr="00850CC8" w:rsidRDefault="00274A73" w:rsidP="00850CC8">
      <w:pPr>
        <w:spacing w:before="120" w:line="276" w:lineRule="auto"/>
        <w:ind w:firstLine="720"/>
        <w:jc w:val="both"/>
        <w:rPr>
          <w:rFonts w:ascii="Times New Roman" w:hAnsi="Times New Roman" w:cs="Times New Roman"/>
          <w:sz w:val="22"/>
          <w:szCs w:val="22"/>
        </w:rPr>
      </w:pPr>
      <w:r>
        <w:rPr>
          <w:rFonts w:ascii="Times New Roman" w:hAnsi="Times New Roman" w:cs="Times New Roman"/>
          <w:sz w:val="22"/>
          <w:szCs w:val="22"/>
        </w:rPr>
        <w:t xml:space="preserve">16. Karen Kilby, “Perichoresis and Projection: Problems with Social Doctrines of the Trinity,” </w:t>
      </w:r>
      <w:r>
        <w:rPr>
          <w:rFonts w:ascii="Times New Roman" w:hAnsi="Times New Roman" w:cs="Times New Roman"/>
          <w:i/>
          <w:iCs/>
          <w:sz w:val="22"/>
          <w:szCs w:val="22"/>
        </w:rPr>
        <w:t>New Blackfriars</w:t>
      </w:r>
      <w:r>
        <w:rPr>
          <w:rFonts w:ascii="Times New Roman" w:hAnsi="Times New Roman" w:cs="Times New Roman"/>
          <w:sz w:val="22"/>
          <w:szCs w:val="22"/>
        </w:rPr>
        <w:t xml:space="preserve"> 81, no. 957 (2000): 432–45. The critique is extended in Kilby, “The Trinity and Politics: An Apophatic Approach,” in </w:t>
      </w:r>
      <w:r>
        <w:rPr>
          <w:rFonts w:ascii="Times New Roman" w:hAnsi="Times New Roman" w:cs="Times New Roman"/>
          <w:i/>
          <w:iCs/>
          <w:sz w:val="22"/>
          <w:szCs w:val="22"/>
        </w:rPr>
        <w:t>Advancing Trinitarian Theology</w:t>
      </w:r>
      <w:r>
        <w:rPr>
          <w:rFonts w:ascii="Times New Roman" w:hAnsi="Times New Roman" w:cs="Times New Roman"/>
          <w:sz w:val="22"/>
          <w:szCs w:val="22"/>
        </w:rPr>
        <w:t xml:space="preserve">, ed. Oliver Crisp and Fred Sanders (Grand Rapids: Zondervan, 2014), 75–93. The present argument’s distinction between participation in a prior love and imitation of a social model is precisely the distinction that Kilby’s critique does not reach. Thomas H. McCall’s careful analysis of the contemporary debate in </w:t>
      </w:r>
      <w:r>
        <w:rPr>
          <w:rFonts w:ascii="Times New Roman" w:hAnsi="Times New Roman" w:cs="Times New Roman"/>
          <w:i/>
          <w:iCs/>
          <w:sz w:val="22"/>
          <w:szCs w:val="22"/>
        </w:rPr>
        <w:t>Which Trinity? Whose Monotheism?</w:t>
      </w:r>
      <w:r>
        <w:rPr>
          <w:rFonts w:ascii="Times New Roman" w:hAnsi="Times New Roman" w:cs="Times New Roman"/>
          <w:sz w:val="22"/>
          <w:szCs w:val="22"/>
        </w:rPr>
        <w:t xml:space="preserve"> (Grand Rapids: Eerdmans, 2010), cited above at note 8, provides the most useful framework for locating the present account within the spectrum of contemporary Trinitarian options. McCall argues that the objection to social Trinitarianism is strongest when directed at accounts that multiply divine minds or wills; it has less purchase on accounts that simply insist on the real personal distinctness of the three as a feature of the divine life that grounds creaturely personhood.</w:t>
      </w:r>
    </w:p>
    <w:p w14:paraId="1182BDC4" w14:textId="02C961A8" w:rsidR="0006756D" w:rsidRPr="00850CC8" w:rsidRDefault="0006756D" w:rsidP="00850CC8">
      <w:pPr>
        <w:spacing w:line="276" w:lineRule="auto"/>
        <w:rPr>
          <w:rFonts w:ascii="Times New Roman" w:hAnsi="Times New Roman" w:cs="Times New Roman"/>
          <w:sz w:val="22"/>
          <w:szCs w:val="22"/>
        </w:rPr>
      </w:pPr>
      <w:r>
        <w:rPr>
          <w:rFonts w:ascii="Times New Roman" w:hAnsi="Times New Roman" w:cs="Times New Roman"/>
          <w:sz w:val="22"/>
          <w:szCs w:val="22"/>
        </w:rPr>
        <w:br w:type="page"/>
      </w:r>
    </w:p>
    <w:p w14:paraId="50D76E71" w14:textId="77777777" w:rsidR="0006756D" w:rsidRPr="00850CC8" w:rsidRDefault="0006756D" w:rsidP="00850CC8">
      <w:pPr>
        <w:pStyle w:val="Heading1"/>
        <w:spacing w:line="276" w:lineRule="auto"/>
        <w:jc w:val="center"/>
        <w:rPr>
          <w:rFonts w:ascii="Times New Roman" w:hAnsi="Times New Roman" w:cs="Times New Roman"/>
          <w:color w:val="000000" w:themeColor="text1"/>
          <w:sz w:val="22"/>
          <w:szCs w:val="22"/>
        </w:rPr>
      </w:pPr>
      <w:bookmarkStart w:id="6" w:name="_Toc228335812"/>
      <w:r>
        <w:rPr>
          <w:rFonts w:ascii="Times New Roman" w:hAnsi="Times New Roman" w:cs="Times New Roman"/>
          <w:color w:val="000000" w:themeColor="text1"/>
          <w:sz w:val="22"/>
          <w:szCs w:val="22"/>
        </w:rPr>
        <w:lastRenderedPageBreak/>
        <w:t>Chapter Three</w:t>
        <w:br/>
        <w:t>The Creature God Had in Mind</w:t>
      </w:r>
      <w:bookmarkEnd w:id="6"/>
    </w:p>
    <w:p w14:paraId="73B4B4B2" w14:textId="77777777" w:rsidR="0006756D" w:rsidRPr="00850CC8" w:rsidRDefault="0006756D" w:rsidP="00850CC8">
      <w:pPr>
        <w:pStyle w:val="Heading1"/>
        <w:spacing w:line="276" w:lineRule="auto"/>
        <w:jc w:val="center"/>
        <w:rPr>
          <w:rFonts w:ascii="Times New Roman" w:hAnsi="Times New Roman" w:cs="Times New Roman"/>
          <w:color w:val="000000" w:themeColor="text1"/>
          <w:sz w:val="22"/>
          <w:szCs w:val="22"/>
        </w:rPr>
      </w:pPr>
    </w:p>
    <w:p w14:paraId="76851416" w14:textId="77777777" w:rsidR="0006756D" w:rsidRPr="00850CC8" w:rsidRDefault="0006756D" w:rsidP="00850CC8">
      <w:pPr>
        <w:spacing w:line="276" w:lineRule="auto"/>
        <w:jc w:val="both"/>
        <w:rPr>
          <w:rFonts w:ascii="Times New Roman" w:hAnsi="Times New Roman" w:cs="Times New Roman"/>
          <w:sz w:val="22"/>
          <w:szCs w:val="22"/>
        </w:rPr>
      </w:pPr>
      <w:r>
        <w:rPr>
          <w:rFonts w:ascii="Times New Roman" w:hAnsi="Times New Roman" w:cs="Times New Roman"/>
          <w:sz w:val="22"/>
          <w:szCs w:val="22"/>
        </w:rPr>
        <w:t>There is a moment in the first chapter of Genesis that deserves more attention than it usually receives. The narrative has proceeded with a kind of stately regularity: God speaks, and it is so; God sees that it is good; evening and morning mark another day. The pattern is hypnotic in its confidence. But when the narrative reaches the sixth day and the creation of humanity, something changes. The voice that has been speaking the world into being does not simply command. It deliberates.</w:t>
      </w:r>
    </w:p>
    <w:p w14:paraId="6A6080E8" w14:textId="77777777" w:rsidR="0006756D" w:rsidRPr="00850CC8" w:rsidRDefault="0006756D" w:rsidP="00850CC8">
      <w:pPr>
        <w:spacing w:line="276" w:lineRule="auto"/>
        <w:rPr>
          <w:rFonts w:ascii="Times New Roman" w:hAnsi="Times New Roman" w:cs="Times New Roman"/>
          <w:sz w:val="22"/>
          <w:szCs w:val="22"/>
        </w:rPr>
      </w:pPr>
    </w:p>
    <w:p w14:paraId="133E3A4C" w14:textId="77777777" w:rsidR="0006756D" w:rsidRPr="00850CC8" w:rsidRDefault="0006756D" w:rsidP="00850CC8">
      <w:pPr>
        <w:spacing w:before="240" w:after="240" w:line="276" w:lineRule="auto"/>
        <w:ind w:left="720" w:right="720"/>
        <w:jc w:val="both"/>
        <w:rPr>
          <w:rFonts w:ascii="Times New Roman" w:hAnsi="Times New Roman" w:cs="Times New Roman"/>
          <w:sz w:val="22"/>
          <w:szCs w:val="22"/>
        </w:rPr>
      </w:pPr>
      <w:r>
        <w:rPr>
          <w:rFonts w:ascii="Times New Roman" w:hAnsi="Times New Roman" w:cs="Times New Roman"/>
          <w:i/>
          <w:iCs/>
          <w:sz w:val="22"/>
          <w:szCs w:val="22"/>
        </w:rPr>
        <w:t>"Let us make man in our image, after our likeness."</w:t>
      </w:r>
    </w:p>
    <w:p w14:paraId="554F2C4E" w14:textId="77777777" w:rsidR="0006756D" w:rsidRPr="00850CC8" w:rsidRDefault="0006756D" w:rsidP="00850CC8">
      <w:pPr>
        <w:spacing w:line="276" w:lineRule="auto"/>
        <w:rPr>
          <w:rFonts w:ascii="Times New Roman" w:hAnsi="Times New Roman" w:cs="Times New Roman"/>
          <w:sz w:val="22"/>
          <w:szCs w:val="22"/>
        </w:rPr>
      </w:pPr>
    </w:p>
    <w:p w14:paraId="59639D1A" w14:textId="77777777" w:rsidR="0006756D" w:rsidRPr="00850CC8" w:rsidRDefault="0006756D"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The shift is small enough to miss and significant enough to reshape everything that follows. After five and a half days of sovereign declaration, God pauses to speak, to whom the text does not say, about what is about to happen. The act of creating humanity is set within a relational discourse before it is accomplished as a divine act. Whatever else the imago Dei turns out to mean, it begins here: in a moment of address, in which the creature about to be made is spoken of before being spoken into existence.</w:t>
      </w:r>
    </w:p>
    <w:p w14:paraId="5D8ED672" w14:textId="77777777" w:rsidR="0006756D" w:rsidRPr="00850CC8" w:rsidRDefault="0006756D" w:rsidP="00850CC8">
      <w:pPr>
        <w:spacing w:line="276" w:lineRule="auto"/>
        <w:rPr>
          <w:rFonts w:ascii="Times New Roman" w:hAnsi="Times New Roman" w:cs="Times New Roman"/>
          <w:sz w:val="22"/>
          <w:szCs w:val="22"/>
        </w:rPr>
      </w:pPr>
    </w:p>
    <w:p w14:paraId="4BC5B1C0" w14:textId="77777777" w:rsidR="0006756D" w:rsidRPr="00850CC8" w:rsidRDefault="0006756D"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This chapter is concerned with what that means.</w:t>
      </w:r>
    </w:p>
    <w:p w14:paraId="7A40E086" w14:textId="77777777" w:rsidR="0006756D" w:rsidRPr="00850CC8" w:rsidRDefault="0006756D" w:rsidP="00850CC8">
      <w:pPr>
        <w:spacing w:line="276" w:lineRule="auto"/>
        <w:rPr>
          <w:rFonts w:ascii="Times New Roman" w:hAnsi="Times New Roman" w:cs="Times New Roman"/>
          <w:sz w:val="22"/>
          <w:szCs w:val="22"/>
        </w:rPr>
      </w:pPr>
    </w:p>
    <w:p w14:paraId="25F2635A" w14:textId="77777777" w:rsidR="0006756D" w:rsidRPr="00850CC8" w:rsidRDefault="0006756D"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The argument is not that Genesis 1 is a straightforward proof text for Trinitarian theology, or that the ancient Israelite author intended to encode the doctrine of three persons in one substance. The argument is more careful than that, and in some respects more interesting. The literary and theological shape of Genesis 1’s account of human creation, the deliberative address, the language of image and likeness, the structural climax of the creation narrative, points toward a kind of being whose constitution is irreducibly relational. And when Christian theology later identified the triune God as the one in whose image humanity is made, it was not importing a foreign concept into the text but drawing out what was already there to be seen.</w:t>
      </w:r>
    </w:p>
    <w:p w14:paraId="5EDA321C" w14:textId="77777777" w:rsidR="0006756D" w:rsidRPr="00850CC8" w:rsidRDefault="0006756D" w:rsidP="00850CC8">
      <w:pPr>
        <w:spacing w:line="276" w:lineRule="auto"/>
        <w:rPr>
          <w:rFonts w:ascii="Times New Roman" w:hAnsi="Times New Roman" w:cs="Times New Roman"/>
          <w:sz w:val="22"/>
          <w:szCs w:val="22"/>
        </w:rPr>
      </w:pPr>
    </w:p>
    <w:p w14:paraId="73C141C6" w14:textId="77777777" w:rsidR="0006756D" w:rsidRPr="00850CC8" w:rsidRDefault="0006756D"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The implications for the moral life are direct. If human beings are constituted by relation in the way the image-theology of Genesis suggests, then the obligations that relations generate are not external constraints laid upon individuals who would otherwise be self-sufficient. They are expressions of what we are. Ethics is not primarily about what is required of us from outside. It is about the shape of the life we were made to live, the life that, as Chapter Two argued, already has its perfect form in the eternal communion of Father, Son, and Spirit.</w:t>
      </w:r>
    </w:p>
    <w:p w14:paraId="58052E75" w14:textId="77777777" w:rsidR="0006756D" w:rsidRPr="00850CC8" w:rsidRDefault="0006756D" w:rsidP="00850CC8">
      <w:pPr>
        <w:spacing w:line="276" w:lineRule="auto"/>
        <w:rPr>
          <w:rFonts w:ascii="Times New Roman" w:hAnsi="Times New Roman" w:cs="Times New Roman"/>
          <w:sz w:val="22"/>
          <w:szCs w:val="22"/>
        </w:rPr>
      </w:pPr>
    </w:p>
    <w:p w14:paraId="59D41D23" w14:textId="77777777" w:rsidR="0006756D" w:rsidRPr="00850CC8" w:rsidRDefault="0006756D" w:rsidP="00850CC8">
      <w:pPr>
        <w:spacing w:before="480" w:after="240" w:line="276" w:lineRule="auto"/>
        <w:rPr>
          <w:rFonts w:ascii="Times New Roman" w:hAnsi="Times New Roman" w:cs="Times New Roman"/>
          <w:sz w:val="22"/>
          <w:szCs w:val="22"/>
        </w:rPr>
      </w:pPr>
      <w:r>
        <w:rPr>
          <w:rFonts w:ascii="Times New Roman" w:hAnsi="Times New Roman" w:cs="Times New Roman"/>
          <w:b/>
          <w:bCs/>
          <w:sz w:val="22"/>
          <w:szCs w:val="22"/>
        </w:rPr>
        <w:t>The Ancient Near Eastern Context</w:t>
      </w:r>
    </w:p>
    <w:p w14:paraId="396EB15D" w14:textId="77777777" w:rsidR="0006756D" w:rsidRPr="00850CC8" w:rsidRDefault="0006756D" w:rsidP="00850CC8">
      <w:pPr>
        <w:spacing w:line="276" w:lineRule="auto"/>
        <w:jc w:val="both"/>
        <w:rPr>
          <w:rFonts w:ascii="Times New Roman" w:hAnsi="Times New Roman" w:cs="Times New Roman"/>
          <w:sz w:val="22"/>
          <w:szCs w:val="22"/>
        </w:rPr>
      </w:pPr>
      <w:r>
        <w:rPr>
          <w:rFonts w:ascii="Times New Roman" w:hAnsi="Times New Roman" w:cs="Times New Roman"/>
          <w:sz w:val="22"/>
          <w:szCs w:val="22"/>
        </w:rPr>
        <w:t xml:space="preserve">Modern readers of Genesis 1 tend to bring to the phrase “image of God” a set of associations drawn from the Western theological tradition: rationality, moral agency, spiritual capacity, the soul. These are not false </w:t>
        <w:lastRenderedPageBreak/>
        <w:t>associations. They have been worked out with great care over centuries of theological reflection. But they are not the associations that would have come most naturally to an ancient reader of the text.</w:t>
      </w:r>
    </w:p>
    <w:p w14:paraId="66971AF8" w14:textId="77777777" w:rsidR="0006756D" w:rsidRPr="00850CC8" w:rsidRDefault="0006756D" w:rsidP="00850CC8">
      <w:pPr>
        <w:spacing w:line="276" w:lineRule="auto"/>
        <w:rPr>
          <w:rFonts w:ascii="Times New Roman" w:hAnsi="Times New Roman" w:cs="Times New Roman"/>
          <w:sz w:val="22"/>
          <w:szCs w:val="22"/>
        </w:rPr>
      </w:pPr>
    </w:p>
    <w:p w14:paraId="4DF2824C" w14:textId="77777777" w:rsidR="0006756D" w:rsidRPr="00850CC8" w:rsidRDefault="0006756D"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In the ancient Near East, the language of the image of a god was royal language. When Egyptian pharaohs were described as the image of Re or Amun-Re, the claim was not primarily about the pharaoh’s inner capacities. It was about his function and status: he was the god’s representative on earth, the one through whom the god’s rule was extended into the creaturely realm. To be the image of a god was to stand in a particular relation to that god, to be authorized and commissioned to act on his behalf, and to stand in a particular relation to the world, to exercise, in the god’s name, the authority that the god himself claimed over the creation.</w:t>
      </w:r>
    </w:p>
    <w:p w14:paraId="6B7D6E28" w14:textId="77777777" w:rsidR="0006756D" w:rsidRPr="00850CC8" w:rsidRDefault="0006756D" w:rsidP="00850CC8">
      <w:pPr>
        <w:spacing w:line="276" w:lineRule="auto"/>
        <w:rPr>
          <w:rFonts w:ascii="Times New Roman" w:hAnsi="Times New Roman" w:cs="Times New Roman"/>
          <w:sz w:val="22"/>
          <w:szCs w:val="22"/>
        </w:rPr>
      </w:pPr>
    </w:p>
    <w:p w14:paraId="45F7D87C" w14:textId="77777777" w:rsidR="0006756D" w:rsidRPr="00850CC8" w:rsidRDefault="0006756D"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J. Richard Middleton’s careful study of the imago Dei in its ancient Near Eastern context has done more than any other recent work to recover this dimension of the text’s meaning. His central claim is that Genesis 1:26–28 democratizes a royal concept: what the ancient world reserved for the king alone, Genesis extends to all human beings. Every person, not just the monarch, is God’s image-bearing representative in the world. Every person is commissioned to exercise, within their sphere and under God’s authority, the kind of ordered, life-giving rule that God himself exercises over the creation.</w:t>
      </w:r>
      <w:r>
        <w:rPr>
          <w:rFonts w:ascii="Times New Roman" w:hAnsi="Times New Roman" w:cs="Times New Roman"/>
          <w:sz w:val="22"/>
          <w:szCs w:val="22"/>
          <w:vertAlign w:val="superscript"/>
        </w:rPr>
        <w:t>1</w:t>
      </w:r>
    </w:p>
    <w:p w14:paraId="5038F2E0" w14:textId="77777777" w:rsidR="0006756D" w:rsidRPr="00850CC8" w:rsidRDefault="0006756D" w:rsidP="00850CC8">
      <w:pPr>
        <w:spacing w:line="276" w:lineRule="auto"/>
        <w:rPr>
          <w:rFonts w:ascii="Times New Roman" w:hAnsi="Times New Roman" w:cs="Times New Roman"/>
          <w:sz w:val="22"/>
          <w:szCs w:val="22"/>
        </w:rPr>
      </w:pPr>
    </w:p>
    <w:p w14:paraId="33CA4F72" w14:textId="77777777" w:rsidR="0006756D" w:rsidRPr="00850CC8" w:rsidRDefault="0006756D"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This functional reading of the imago has real exegetical force. The creation mandate that immediately follows the image language, “Be fruitful and multiply and fill the earth and subdue it, and have dominion over the fish of the sea and over the birds of the heavens and over every living thing that moves on the earth” (Genesis 1:28), is exactly what we would expect if the image is a royal commission. The image-bearing creature is given a task: to extend God’s ordering, fruitful rule throughout the created realm.</w:t>
      </w:r>
    </w:p>
    <w:p w14:paraId="73569A9C" w14:textId="77777777" w:rsidR="0006756D" w:rsidRPr="00850CC8" w:rsidRDefault="0006756D" w:rsidP="00850CC8">
      <w:pPr>
        <w:spacing w:line="276" w:lineRule="auto"/>
        <w:rPr>
          <w:rFonts w:ascii="Times New Roman" w:hAnsi="Times New Roman" w:cs="Times New Roman"/>
          <w:sz w:val="22"/>
          <w:szCs w:val="22"/>
        </w:rPr>
      </w:pPr>
    </w:p>
    <w:p w14:paraId="5C76367A" w14:textId="77777777" w:rsidR="0006756D" w:rsidRPr="00850CC8" w:rsidRDefault="0006756D"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Michael Heiser’s work on the divine council provides a complementary angle of vision. The “us” of “let us make” is not, on Heiser’s reading, a grammatical plural of majesty or a polite address to a court of no significant content. It reflects the actual plurality of the divine council, the heavenly beings, variously called sons of God, holy ones, or the divine assembly, in whose presence the God of Israel is consistently portrayed throughout the Hebrew Bible.</w:t>
      </w:r>
      <w:r>
        <w:rPr>
          <w:rFonts w:ascii="Times New Roman" w:hAnsi="Times New Roman" w:cs="Times New Roman"/>
          <w:sz w:val="22"/>
          <w:szCs w:val="22"/>
          <w:vertAlign w:val="superscript"/>
        </w:rPr>
        <w:t>2</w:t>
      </w:r>
      <w:r>
        <w:rPr>
          <w:rFonts w:ascii="Times New Roman" w:hAnsi="Times New Roman" w:cs="Times New Roman"/>
          <w:sz w:val="22"/>
          <w:szCs w:val="22"/>
        </w:rPr>
        <w:t xml:space="preserve"> The creation of humanity happens within this setting: it is announced before the divine assembly, and the creature about to be made is described as bearing the image of the one who presides over that assembly.</w:t>
      </w:r>
    </w:p>
    <w:p w14:paraId="3E14BE10" w14:textId="77777777" w:rsidR="0006756D" w:rsidRPr="00850CC8" w:rsidRDefault="0006756D" w:rsidP="00850CC8">
      <w:pPr>
        <w:spacing w:line="276" w:lineRule="auto"/>
        <w:rPr>
          <w:rFonts w:ascii="Times New Roman" w:hAnsi="Times New Roman" w:cs="Times New Roman"/>
          <w:sz w:val="22"/>
          <w:szCs w:val="22"/>
        </w:rPr>
      </w:pPr>
    </w:p>
    <w:p w14:paraId="3CCC3A30" w14:textId="77777777" w:rsidR="0006756D" w:rsidRPr="00850CC8" w:rsidRDefault="0006756D"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This observation connects to something that will become important later in this book: the cosmic scope of the moral drama in which human beings find themselves. The creation of humanity is not a private transaction between God and a single species. It is a declaration, made before an audience that spans both the heavenly and earthly realms, about the kind of creature God is placing in the world and the role that creature is commissioned to play. The cosmic temple in which the image is installed is, from the outset, the theatre of divine self-revelation introduced in this book’s companion volume and developed fully in Chapter Nine: and the image-bearing creature placed within it is installed not as a spectator of the display but as a participant in it.</w:t>
      </w:r>
    </w:p>
    <w:p w14:paraId="01E11D21" w14:textId="77777777" w:rsidR="0006756D" w:rsidRPr="00850CC8" w:rsidRDefault="0006756D" w:rsidP="00850CC8">
      <w:pPr>
        <w:spacing w:line="276" w:lineRule="auto"/>
        <w:rPr>
          <w:rFonts w:ascii="Times New Roman" w:hAnsi="Times New Roman" w:cs="Times New Roman"/>
          <w:sz w:val="22"/>
          <w:szCs w:val="22"/>
        </w:rPr>
      </w:pPr>
    </w:p>
    <w:p w14:paraId="34273EB9" w14:textId="77777777" w:rsidR="0006756D" w:rsidRPr="00850CC8" w:rsidRDefault="0006756D" w:rsidP="00850CC8">
      <w:pPr>
        <w:spacing w:before="480" w:after="240" w:line="276" w:lineRule="auto"/>
        <w:rPr>
          <w:rFonts w:ascii="Times New Roman" w:hAnsi="Times New Roman" w:cs="Times New Roman"/>
          <w:sz w:val="22"/>
          <w:szCs w:val="22"/>
        </w:rPr>
      </w:pPr>
      <w:r>
        <w:rPr>
          <w:rFonts w:ascii="Times New Roman" w:hAnsi="Times New Roman" w:cs="Times New Roman"/>
          <w:b/>
          <w:bCs/>
          <w:sz w:val="22"/>
          <w:szCs w:val="22"/>
        </w:rPr>
        <w:t>The Relational Dimension</w:t>
      </w:r>
    </w:p>
    <w:p w14:paraId="609E20D7" w14:textId="77777777" w:rsidR="0006756D" w:rsidRPr="00850CC8" w:rsidRDefault="0006756D" w:rsidP="00850CC8">
      <w:pPr>
        <w:spacing w:line="276" w:lineRule="auto"/>
        <w:jc w:val="both"/>
        <w:rPr>
          <w:rFonts w:ascii="Times New Roman" w:hAnsi="Times New Roman" w:cs="Times New Roman"/>
          <w:sz w:val="22"/>
          <w:szCs w:val="22"/>
        </w:rPr>
      </w:pPr>
      <w:r>
        <w:rPr>
          <w:rFonts w:ascii="Times New Roman" w:hAnsi="Times New Roman" w:cs="Times New Roman"/>
          <w:sz w:val="22"/>
          <w:szCs w:val="22"/>
        </w:rPr>
        <w:lastRenderedPageBreak/>
        <w:t>The functional reading of the imago is important and largely right, but it requires a companion that it does not always receive. The question the functional reading tends not to ask is this: what kind of being can actually perform this function? What must a creature be, at a deeper level, in order to serve as God’s image-bearing representative in the world?</w:t>
      </w:r>
    </w:p>
    <w:p w14:paraId="2D5EBC96" w14:textId="77777777" w:rsidR="0006756D" w:rsidRPr="00850CC8" w:rsidRDefault="0006756D" w:rsidP="00850CC8">
      <w:pPr>
        <w:spacing w:line="276" w:lineRule="auto"/>
        <w:rPr>
          <w:rFonts w:ascii="Times New Roman" w:hAnsi="Times New Roman" w:cs="Times New Roman"/>
          <w:sz w:val="22"/>
          <w:szCs w:val="22"/>
        </w:rPr>
      </w:pPr>
    </w:p>
    <w:p w14:paraId="26759039" w14:textId="77777777" w:rsidR="0006756D" w:rsidRPr="00850CC8" w:rsidRDefault="0006756D"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The answer that Genesis itself suggests, when read with care, is: a relational being.</w:t>
      </w:r>
    </w:p>
    <w:p w14:paraId="072AAA5C" w14:textId="77777777" w:rsidR="0006756D" w:rsidRPr="00850CC8" w:rsidRDefault="0006756D" w:rsidP="00850CC8">
      <w:pPr>
        <w:spacing w:line="276" w:lineRule="auto"/>
        <w:rPr>
          <w:rFonts w:ascii="Times New Roman" w:hAnsi="Times New Roman" w:cs="Times New Roman"/>
          <w:sz w:val="22"/>
          <w:szCs w:val="22"/>
        </w:rPr>
      </w:pPr>
    </w:p>
    <w:p w14:paraId="0AD64220" w14:textId="77777777" w:rsidR="0006756D" w:rsidRPr="00850CC8" w:rsidRDefault="0006756D"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This is not simply an inference from the theology of the Trinity, though Chapter Two showed that inference to be warranted. It is visible in the structure of the text itself. The image language of Genesis 1:26–27 is immediately followed, in 1:28, by the commission to fruitfulness and dominion. But then, in Genesis 2:18, before the narrative has proceeded very far, God identifies something that is not good: “It is not good that the man should be alone.” The creature who was made to bear God’s image and exercise God’s rule in the world is found, in isolation, to be incomplete. The image requires community in order to be properly expressed.</w:t>
      </w:r>
    </w:p>
    <w:p w14:paraId="58B369AA" w14:textId="77777777" w:rsidR="0006756D" w:rsidRPr="00850CC8" w:rsidRDefault="0006756D" w:rsidP="00850CC8">
      <w:pPr>
        <w:spacing w:line="276" w:lineRule="auto"/>
        <w:rPr>
          <w:rFonts w:ascii="Times New Roman" w:hAnsi="Times New Roman" w:cs="Times New Roman"/>
          <w:sz w:val="22"/>
          <w:szCs w:val="22"/>
        </w:rPr>
      </w:pPr>
    </w:p>
    <w:p w14:paraId="75E986C1" w14:textId="77777777" w:rsidR="0006756D" w:rsidRPr="00850CC8" w:rsidRDefault="0006756D"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Stanley Grenz, whose work on the social imago deserves more attention than it typically receives, pressed this point with some precision. His argument is that the imago Dei is not primarily a property of individual human beings, a capacity for reason or moral agency that each person possesses in isolation, but a relational reality that is properly instantiated only in community.</w:t>
      </w:r>
      <w:r>
        <w:rPr>
          <w:rFonts w:ascii="Times New Roman" w:hAnsi="Times New Roman" w:cs="Times New Roman"/>
          <w:sz w:val="22"/>
          <w:szCs w:val="22"/>
          <w:vertAlign w:val="superscript"/>
        </w:rPr>
        <w:t>3</w:t>
      </w:r>
      <w:r>
        <w:rPr>
          <w:rFonts w:ascii="Times New Roman" w:hAnsi="Times New Roman" w:cs="Times New Roman"/>
          <w:sz w:val="22"/>
          <w:szCs w:val="22"/>
        </w:rPr>
        <w:t xml:space="preserve"> The human being made in God’s image is, from the outset, the human being in relation.</w:t>
      </w:r>
    </w:p>
    <w:p w14:paraId="1AE39ED0" w14:textId="77777777" w:rsidR="0006756D" w:rsidRPr="00850CC8" w:rsidRDefault="0006756D" w:rsidP="00850CC8">
      <w:pPr>
        <w:spacing w:line="276" w:lineRule="auto"/>
        <w:rPr>
          <w:rFonts w:ascii="Times New Roman" w:hAnsi="Times New Roman" w:cs="Times New Roman"/>
          <w:sz w:val="22"/>
          <w:szCs w:val="22"/>
        </w:rPr>
      </w:pPr>
    </w:p>
    <w:p w14:paraId="29505F6A" w14:textId="77777777" w:rsidR="0006756D" w:rsidRPr="00850CC8" w:rsidRDefault="0006756D"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This is not a marginal observation. It reframes the entire discussion of what the image is and what it means. If the image is a relational reality, then the question “what is the image of God?” cannot be answered by pointing to any feature of an individual considered in abstraction from their relations. The image is expressed, one might say instantiated, in the pattern of relation that the creature lives out. And the pattern of relation that the image-bearing creature is made to live out is, by the logic of Chapter Two, the pattern of the Trinitarian life itself: mutual self-giving, irreducible personal distinctness, and the kind of love that is completed rather than diminished by its extension to another.</w:t>
      </w:r>
    </w:p>
    <w:p w14:paraId="0B6934C9" w14:textId="77777777" w:rsidR="0006756D" w:rsidRPr="00850CC8" w:rsidRDefault="0006756D" w:rsidP="00850CC8">
      <w:pPr>
        <w:spacing w:line="276" w:lineRule="auto"/>
        <w:rPr>
          <w:rFonts w:ascii="Times New Roman" w:hAnsi="Times New Roman" w:cs="Times New Roman"/>
          <w:sz w:val="22"/>
          <w:szCs w:val="22"/>
        </w:rPr>
      </w:pPr>
    </w:p>
    <w:p w14:paraId="5E1ABD3D" w14:textId="77777777" w:rsidR="0006756D" w:rsidRPr="00850CC8" w:rsidRDefault="0006756D" w:rsidP="00850CC8">
      <w:pPr>
        <w:spacing w:before="480" w:after="240" w:line="276" w:lineRule="auto"/>
        <w:rPr>
          <w:rFonts w:ascii="Times New Roman" w:hAnsi="Times New Roman" w:cs="Times New Roman"/>
          <w:sz w:val="22"/>
          <w:szCs w:val="22"/>
        </w:rPr>
      </w:pPr>
      <w:r>
        <w:rPr>
          <w:rFonts w:ascii="Times New Roman" w:hAnsi="Times New Roman" w:cs="Times New Roman"/>
          <w:b/>
          <w:bCs/>
          <w:sz w:val="22"/>
          <w:szCs w:val="22"/>
        </w:rPr>
        <w:t>Function and Relation as Inseparable</w:t>
      </w:r>
    </w:p>
    <w:p w14:paraId="42DAAC2B" w14:textId="77777777" w:rsidR="0006756D" w:rsidRPr="00850CC8" w:rsidRDefault="0006756D" w:rsidP="00850CC8">
      <w:pPr>
        <w:spacing w:line="276" w:lineRule="auto"/>
        <w:jc w:val="both"/>
        <w:rPr>
          <w:rFonts w:ascii="Times New Roman" w:hAnsi="Times New Roman" w:cs="Times New Roman"/>
          <w:sz w:val="22"/>
          <w:szCs w:val="22"/>
        </w:rPr>
      </w:pPr>
      <w:r>
        <w:rPr>
          <w:rFonts w:ascii="Times New Roman" w:hAnsi="Times New Roman" w:cs="Times New Roman"/>
          <w:sz w:val="22"/>
          <w:szCs w:val="22"/>
        </w:rPr>
        <w:t>It is a mistake, then, to treat the functional and relational readings of the imago as competing alternatives. They are not. They are two dimensions of a single reality, and each requires the other to be understood properly.</w:t>
      </w:r>
    </w:p>
    <w:p w14:paraId="5A0BD3BF" w14:textId="77777777" w:rsidR="0006756D" w:rsidRPr="00850CC8" w:rsidRDefault="0006756D" w:rsidP="00850CC8">
      <w:pPr>
        <w:spacing w:line="276" w:lineRule="auto"/>
        <w:rPr>
          <w:rFonts w:ascii="Times New Roman" w:hAnsi="Times New Roman" w:cs="Times New Roman"/>
          <w:sz w:val="22"/>
          <w:szCs w:val="22"/>
        </w:rPr>
      </w:pPr>
    </w:p>
    <w:p w14:paraId="12C73655" w14:textId="77777777" w:rsidR="0006756D" w:rsidRPr="00850CC8" w:rsidRDefault="0006756D"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The functional dimension, the royal commission to rule and represent, cannot be separated from the relational dimension, because the rule that human beings are commissioned to exercise is not arbitrary dominion. It is the kind of ordered, life-giving, responsive care that God himself models in the creation narrative. God’s rule over the creation in Genesis 1 is not the imposition of a sovereign will on passive matter. It is the calling forth of ordered existence from chaos, the separation of light from darkness, land from sea, the establishment of habitats and the populating of them with creatures suited to flourish within them. It is a rule, in other words, constituted by attention, by care, and by a kind of responsiveness to what each creature needs in order to be fully itself.</w:t>
      </w:r>
    </w:p>
    <w:p w14:paraId="7F7C1C96" w14:textId="77777777" w:rsidR="0006756D" w:rsidRPr="00850CC8" w:rsidRDefault="0006756D" w:rsidP="00850CC8">
      <w:pPr>
        <w:spacing w:line="276" w:lineRule="auto"/>
        <w:rPr>
          <w:rFonts w:ascii="Times New Roman" w:hAnsi="Times New Roman" w:cs="Times New Roman"/>
          <w:sz w:val="22"/>
          <w:szCs w:val="22"/>
        </w:rPr>
      </w:pPr>
    </w:p>
    <w:p w14:paraId="5761B228" w14:textId="77777777" w:rsidR="0006756D" w:rsidRPr="00850CC8" w:rsidRDefault="0006756D"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To bear God’s image as his representative ruler in the world is to exercise that kind of rule, a rule shaped by the character of the one being represented. And since the one being represented is, as Chapter Two argued, a God whose inner life is constituted by mutual, self-giving, reflexive love, the rule that image-bearers are commissioned to exercise cannot be separated from the relational character of the God they represent. You cannot properly image a relational God while living as a non-relational creature. The function requires the relation; the relation gives the function its proper shape.</w:t>
      </w:r>
    </w:p>
    <w:p w14:paraId="59FC988C" w14:textId="77777777" w:rsidR="0006756D" w:rsidRPr="00850CC8" w:rsidRDefault="0006756D" w:rsidP="00850CC8">
      <w:pPr>
        <w:spacing w:line="276" w:lineRule="auto"/>
        <w:rPr>
          <w:rFonts w:ascii="Times New Roman" w:hAnsi="Times New Roman" w:cs="Times New Roman"/>
          <w:sz w:val="22"/>
          <w:szCs w:val="22"/>
        </w:rPr>
      </w:pPr>
    </w:p>
    <w:p w14:paraId="4A7521E7" w14:textId="77777777" w:rsidR="0006756D" w:rsidRPr="00850CC8" w:rsidRDefault="0006756D"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N. T. Wright has pressed this point from a different angle that is illuminating here. His account of the imago Dei connects the image-bearing vocation to the temple theology of the ancient world. In the ancient Near East, images of the gods were placed in temples as the visible presence of the deity in the space dedicated to that deity’s worship. Genesis 1, on Wright’s reading, is structured as a cosmic temple narrative: God’s creation of the ordered cosmos is the construction of a cosmic temple, and the placing of the image-bearing creature within that temple is the installation of God’s image in the place prepared for it.</w:t>
      </w:r>
      <w:r>
        <w:rPr>
          <w:rFonts w:ascii="Times New Roman" w:hAnsi="Times New Roman" w:cs="Times New Roman"/>
          <w:sz w:val="22"/>
          <w:szCs w:val="22"/>
          <w:vertAlign w:val="superscript"/>
        </w:rPr>
        <w:t>4</w:t>
      </w:r>
    </w:p>
    <w:p w14:paraId="0AA27C1B" w14:textId="77777777" w:rsidR="0006756D" w:rsidRPr="00850CC8" w:rsidRDefault="0006756D" w:rsidP="00850CC8">
      <w:pPr>
        <w:spacing w:line="276" w:lineRule="auto"/>
        <w:rPr>
          <w:rFonts w:ascii="Times New Roman" w:hAnsi="Times New Roman" w:cs="Times New Roman"/>
          <w:sz w:val="22"/>
          <w:szCs w:val="22"/>
        </w:rPr>
      </w:pPr>
    </w:p>
    <w:p w14:paraId="167FBB7A" w14:textId="77777777" w:rsidR="0006756D" w:rsidRPr="00850CC8" w:rsidRDefault="0006756D"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The implication Wright draws is important for the present argument. Temple images were not passive objects. They were the means by which the god’s presence and activity were mediated into the created realm. The human being as God’s image in the cosmic temple is not simply a marker of human dignity, though it is certainly that. It is a commission to mediate God’s life, rule, and character into the world. And that mediation is irreducibly relational: it requires the image-bearer to be in right relation to the God whose presence they mediate, and to be in right relation to the creatures toward whom that mediation is directed.</w:t>
      </w:r>
    </w:p>
    <w:p w14:paraId="3D47FC7B" w14:textId="77777777" w:rsidR="0006756D" w:rsidRPr="00850CC8" w:rsidRDefault="0006756D" w:rsidP="00850CC8">
      <w:pPr>
        <w:spacing w:line="276" w:lineRule="auto"/>
        <w:rPr>
          <w:rFonts w:ascii="Times New Roman" w:hAnsi="Times New Roman" w:cs="Times New Roman"/>
          <w:sz w:val="22"/>
          <w:szCs w:val="22"/>
        </w:rPr>
      </w:pPr>
    </w:p>
    <w:p w14:paraId="0DADC744" w14:textId="77777777" w:rsidR="0006756D" w:rsidRPr="00850CC8" w:rsidRDefault="0006756D" w:rsidP="00850CC8">
      <w:pPr>
        <w:spacing w:before="480" w:after="240" w:line="276" w:lineRule="auto"/>
        <w:rPr>
          <w:rFonts w:ascii="Times New Roman" w:hAnsi="Times New Roman" w:cs="Times New Roman"/>
          <w:sz w:val="22"/>
          <w:szCs w:val="22"/>
        </w:rPr>
      </w:pPr>
      <w:r>
        <w:rPr>
          <w:rFonts w:ascii="Times New Roman" w:hAnsi="Times New Roman" w:cs="Times New Roman"/>
          <w:b/>
          <w:bCs/>
          <w:sz w:val="22"/>
          <w:szCs w:val="22"/>
        </w:rPr>
        <w:t>The Social Complexity the Image Requires</w:t>
      </w:r>
    </w:p>
    <w:p w14:paraId="5EC2213E" w14:textId="77777777" w:rsidR="0006756D" w:rsidRPr="00850CC8" w:rsidRDefault="0006756D" w:rsidP="00850CC8">
      <w:pPr>
        <w:spacing w:line="276" w:lineRule="auto"/>
        <w:jc w:val="both"/>
        <w:rPr>
          <w:rFonts w:ascii="Times New Roman" w:hAnsi="Times New Roman" w:cs="Times New Roman"/>
          <w:sz w:val="22"/>
          <w:szCs w:val="22"/>
        </w:rPr>
      </w:pPr>
      <w:r>
        <w:rPr>
          <w:rFonts w:ascii="Times New Roman" w:hAnsi="Times New Roman" w:cs="Times New Roman"/>
          <w:sz w:val="22"/>
          <w:szCs w:val="22"/>
        </w:rPr>
        <w:t>There is a further dimension of the imago Dei that deserves attention, one that connects the anthropological argument to the Trinitarian theology of Chapter Two more directly than the functional reading alone can manage.</w:t>
      </w:r>
    </w:p>
    <w:p w14:paraId="58822170" w14:textId="77777777" w:rsidR="0006756D" w:rsidRPr="00850CC8" w:rsidRDefault="0006756D" w:rsidP="00850CC8">
      <w:pPr>
        <w:spacing w:line="276" w:lineRule="auto"/>
        <w:rPr>
          <w:rFonts w:ascii="Times New Roman" w:hAnsi="Times New Roman" w:cs="Times New Roman"/>
          <w:sz w:val="22"/>
          <w:szCs w:val="22"/>
        </w:rPr>
      </w:pPr>
    </w:p>
    <w:p w14:paraId="13499E55" w14:textId="77777777" w:rsidR="0006756D" w:rsidRPr="00850CC8" w:rsidRDefault="0006756D"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Genesis 1:26–27 is syntactically unusual in a way that tends to be lost in translation. The first verse uses plural language, “let us make man in our image,” and the noun translated “man” (adam) is grammatically singular. The following verse then describes the creation in terms that suggest both unity and differentiation: “So God created man in his own image, in the image of God he created him; male and female he created them.”</w:t>
      </w:r>
    </w:p>
    <w:p w14:paraId="0A4BD1CA" w14:textId="77777777" w:rsidR="0006756D" w:rsidRPr="00850CC8" w:rsidRDefault="0006756D" w:rsidP="00850CC8">
      <w:pPr>
        <w:spacing w:line="276" w:lineRule="auto"/>
        <w:rPr>
          <w:rFonts w:ascii="Times New Roman" w:hAnsi="Times New Roman" w:cs="Times New Roman"/>
          <w:sz w:val="22"/>
          <w:szCs w:val="22"/>
        </w:rPr>
      </w:pPr>
    </w:p>
    <w:p w14:paraId="19BBDA9F" w14:textId="77777777" w:rsidR="0006756D" w:rsidRPr="00850CC8" w:rsidRDefault="0006756D"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The movement from singular to plural within a single act of creation is not accidental. The image-bearing creature is, in the first instance, a social creature, differentiated within a unity, a unity expressed through differentiation. The most obvious expression of this social complexity is the male-female distinction, which Genesis presents not as a secondary accommodation to the needs of reproduction but as part of what it means to be made in God’s image. The image is displayed not by the isolated individual but by persons in relation.</w:t>
      </w:r>
    </w:p>
    <w:p w14:paraId="56BECDFE" w14:textId="77777777" w:rsidR="0006756D" w:rsidRPr="00850CC8" w:rsidRDefault="0006756D" w:rsidP="00850CC8">
      <w:pPr>
        <w:spacing w:line="276" w:lineRule="auto"/>
        <w:rPr>
          <w:rFonts w:ascii="Times New Roman" w:hAnsi="Times New Roman" w:cs="Times New Roman"/>
          <w:sz w:val="22"/>
          <w:szCs w:val="22"/>
        </w:rPr>
      </w:pPr>
    </w:p>
    <w:p w14:paraId="70F16702" w14:textId="77777777" w:rsidR="0006756D" w:rsidRPr="00850CC8" w:rsidRDefault="0006756D"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lastRenderedPageBreak/>
        <w:t>Grenz notes that this correspondence between divine social complexity and human social complexity is precisely what we should expect if the God in whose image humanity is made is the triune God of Christian theology.</w:t>
      </w:r>
      <w:r>
        <w:rPr>
          <w:rFonts w:ascii="Times New Roman" w:hAnsi="Times New Roman" w:cs="Times New Roman"/>
          <w:sz w:val="22"/>
          <w:szCs w:val="22"/>
          <w:vertAlign w:val="superscript"/>
        </w:rPr>
        <w:t>5</w:t>
      </w:r>
      <w:r>
        <w:rPr>
          <w:rFonts w:ascii="Times New Roman" w:hAnsi="Times New Roman" w:cs="Times New Roman"/>
          <w:sz w:val="22"/>
          <w:szCs w:val="22"/>
        </w:rPr>
        <w:t xml:space="preserve"> The Trinity is a unity expressed through real personal differentiation. Humanity, made in that God’s image, is a social unity expressed through the real personal differentiation of persons who are neither absorbed into each other nor separable from each other. The echo is not accidental.</w:t>
      </w:r>
    </w:p>
    <w:p w14:paraId="78099A7B" w14:textId="77777777" w:rsidR="0006756D" w:rsidRPr="00850CC8" w:rsidRDefault="0006756D" w:rsidP="00850CC8">
      <w:pPr>
        <w:spacing w:line="276" w:lineRule="auto"/>
        <w:rPr>
          <w:rFonts w:ascii="Times New Roman" w:hAnsi="Times New Roman" w:cs="Times New Roman"/>
          <w:sz w:val="22"/>
          <w:szCs w:val="22"/>
        </w:rPr>
      </w:pPr>
    </w:p>
    <w:p w14:paraId="23784A1C" w14:textId="77777777" w:rsidR="0006756D" w:rsidRPr="00850CC8" w:rsidRDefault="0006756D"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What follows from this for the moral life is considerable. If the image-bearing creature is constitutively social, if human beings are not individuals who subsequently choose to enter into relations with others but persons whose very identity is shaped by the relations they inhabit, then the obligations that arise from those relations are not external impositions on a prior individual existence. They are expressions of what human beings are. The moral life, in this framework, is not primarily about submitting to constraints from outside. It is about living in accordance with the relational constitution that makes us what we are.</w:t>
      </w:r>
    </w:p>
    <w:p w14:paraId="58BFDD87" w14:textId="77777777" w:rsidR="0006756D" w:rsidRPr="00850CC8" w:rsidRDefault="0006756D" w:rsidP="00850CC8">
      <w:pPr>
        <w:spacing w:line="276" w:lineRule="auto"/>
        <w:rPr>
          <w:rFonts w:ascii="Times New Roman" w:hAnsi="Times New Roman" w:cs="Times New Roman"/>
          <w:sz w:val="22"/>
          <w:szCs w:val="22"/>
        </w:rPr>
      </w:pPr>
    </w:p>
    <w:p w14:paraId="53A25736" w14:textId="77777777" w:rsidR="0006756D" w:rsidRPr="00850CC8" w:rsidRDefault="0006756D"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This is not a license for any and all relational arrangements to claim moral sanction. The relational constitution of the image does not mean that every form of human relating is equally expressive of what the image requires. The image is the image of a God whose inner life is characterized by the perichoretic love described in Chapter Two: mutual, self-giving, reflexive, and ordered. Relations that are exploitative, self-consuming, or disordered are not expressions of the image but distortions of it. The ethical question is not simply whether one is in relation, since everyone always is, but whether the pattern of one’s relations reflects or distorts the relational character of the God whose image one bears.</w:t>
      </w:r>
    </w:p>
    <w:p w14:paraId="15F8A449" w14:textId="77777777" w:rsidR="0006756D" w:rsidRPr="00850CC8" w:rsidRDefault="0006756D" w:rsidP="00850CC8">
      <w:pPr>
        <w:spacing w:line="276" w:lineRule="auto"/>
        <w:rPr>
          <w:rFonts w:ascii="Times New Roman" w:hAnsi="Times New Roman" w:cs="Times New Roman"/>
          <w:sz w:val="22"/>
          <w:szCs w:val="22"/>
        </w:rPr>
      </w:pPr>
    </w:p>
    <w:p w14:paraId="7EC34D0C" w14:textId="77777777" w:rsidR="0006756D" w:rsidRPr="00850CC8" w:rsidRDefault="0006756D" w:rsidP="00850CC8">
      <w:pPr>
        <w:spacing w:before="480" w:after="240" w:line="276" w:lineRule="auto"/>
        <w:rPr>
          <w:rFonts w:ascii="Times New Roman" w:hAnsi="Times New Roman" w:cs="Times New Roman"/>
          <w:sz w:val="22"/>
          <w:szCs w:val="22"/>
        </w:rPr>
      </w:pPr>
      <w:r>
        <w:rPr>
          <w:rFonts w:ascii="Times New Roman" w:hAnsi="Times New Roman" w:cs="Times New Roman"/>
          <w:b/>
          <w:bCs/>
          <w:sz w:val="22"/>
          <w:szCs w:val="22"/>
        </w:rPr>
        <w:t>The Relational Image and Natural Law</w:t>
      </w:r>
    </w:p>
    <w:p w14:paraId="256FBEF8" w14:textId="77777777" w:rsidR="0006756D" w:rsidRPr="00850CC8" w:rsidRDefault="0006756D" w:rsidP="00850CC8">
      <w:pPr>
        <w:spacing w:line="276" w:lineRule="auto"/>
        <w:jc w:val="both"/>
        <w:rPr>
          <w:rFonts w:ascii="Times New Roman" w:hAnsi="Times New Roman" w:cs="Times New Roman"/>
          <w:sz w:val="22"/>
          <w:szCs w:val="22"/>
        </w:rPr>
      </w:pPr>
      <w:r>
        <w:rPr>
          <w:rFonts w:ascii="Times New Roman" w:hAnsi="Times New Roman" w:cs="Times New Roman"/>
          <w:sz w:val="22"/>
          <w:szCs w:val="22"/>
        </w:rPr>
        <w:t>There is a tradition of Christian moral theology that has also invoked the imago Dei as the foundation for moral knowledge, and it deserves a careful hearing before we draw conclusions about what the relational account of the image means for ethics. The natural law tradition, in its classical Thomistic form, locates universal moral knowledge in the rational nature that human beings share as image-bearers of the rational God. Because human beings are made in the image of a God whose eternal law orders all things according to reason, they are capable of discerning, through the exercise of their natural reason, the basic goods and basic obligations that structure a well-lived human life. This is not a minor tradition. It has shaped Christian moral theology for centuries and produced some of the most sustained and careful ethical thinking in the history of the West.</w:t>
      </w:r>
    </w:p>
    <w:p w14:paraId="4AFE0271" w14:textId="77777777" w:rsidR="0006756D" w:rsidRPr="00850CC8" w:rsidRDefault="0006756D" w:rsidP="00850CC8">
      <w:pPr>
        <w:spacing w:line="276" w:lineRule="auto"/>
        <w:rPr>
          <w:rFonts w:ascii="Times New Roman" w:hAnsi="Times New Roman" w:cs="Times New Roman"/>
          <w:sz w:val="22"/>
          <w:szCs w:val="22"/>
        </w:rPr>
      </w:pPr>
    </w:p>
    <w:p w14:paraId="0DB0746F" w14:textId="77777777" w:rsidR="0006756D" w:rsidRPr="00850CC8" w:rsidRDefault="0006756D"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The relational account of the imago Dei developed in this chapter does not reject the natural law tradition. It relocates its foundation and, in doing so, extends its reach. The classical account tends to ground the imago primarily in human rationality: what distinguishes the image-bearing creature from the rest of creation is the capacity for reason, which is the faculty through which participation in divine reason becomes possible. That is not wrong. The problem is that it reads the image primarily through a single dimension of human nature, and a dimension, moreover, that is most naturally understood in individual terms. It is the individual rational agent who exercises reason, discerns the natural law, and arrives at moral knowledge.</w:t>
      </w:r>
    </w:p>
    <w:p w14:paraId="456F6F76" w14:textId="77777777" w:rsidR="0006756D" w:rsidRPr="00850CC8" w:rsidRDefault="0006756D" w:rsidP="00850CC8">
      <w:pPr>
        <w:spacing w:line="276" w:lineRule="auto"/>
        <w:rPr>
          <w:rFonts w:ascii="Times New Roman" w:hAnsi="Times New Roman" w:cs="Times New Roman"/>
          <w:sz w:val="22"/>
          <w:szCs w:val="22"/>
        </w:rPr>
      </w:pPr>
    </w:p>
    <w:p w14:paraId="5F13D0FD" w14:textId="77777777" w:rsidR="0006756D" w:rsidRPr="00850CC8" w:rsidRDefault="0006756D"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lastRenderedPageBreak/>
        <w:t>The relational account argues that rationality itself is better understood within the larger frame of what it means to be a person constituted by relation. We do not reason our way into relation and then acquire obligations. We find ourselves already in relation, already obligated, already called to a pattern of life that our rational capacities can reflect on but did not generate. The obligations that flow from the parent-child relationship, to take the clearest case, do not wait for rational discernment to establish them. They are already in place before reason articulates them, because they belong to the relational structure of the image itself.</w:t>
      </w:r>
    </w:p>
    <w:p w14:paraId="164572EC" w14:textId="77777777" w:rsidR="0006756D" w:rsidRPr="00850CC8" w:rsidRDefault="0006756D" w:rsidP="00850CC8">
      <w:pPr>
        <w:spacing w:line="276" w:lineRule="auto"/>
        <w:rPr>
          <w:rFonts w:ascii="Times New Roman" w:hAnsi="Times New Roman" w:cs="Times New Roman"/>
          <w:sz w:val="22"/>
          <w:szCs w:val="22"/>
        </w:rPr>
      </w:pPr>
    </w:p>
    <w:p w14:paraId="015688A0" w14:textId="77777777" w:rsidR="0006756D" w:rsidRPr="00850CC8" w:rsidRDefault="0006756D"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This has a direct bearing on why the moral knowledge Paul describes in Romans 2:14–15 is universal. His observation that Gentiles “do by nature things required by the law” and that “the requirements of the law are written on their hearts” is the passage to which natural law theologians have consistently appealed. The explanation the relational account offers for this universality is not different in kind from the natural law account, but it is richer in content. Universal moral knowledge exists not simply because all human beings share a rational nature that participates in divine reason, but because all human beings are made in the image of the relational God and are therefore constitutively structured by the kinds of obligations that relational existence generates. The moral knowledge written on every human heart includes, but is not reducible to, what rational reflection can discern. It includes the whole texture of relational obligation that Chapter One traced and that the philosophical tradition has persistently struggled to account for.</w:t>
      </w:r>
    </w:p>
    <w:p w14:paraId="6FC42123" w14:textId="77777777" w:rsidR="0006756D" w:rsidRPr="00850CC8" w:rsidRDefault="0006756D" w:rsidP="00850CC8">
      <w:pPr>
        <w:spacing w:line="276" w:lineRule="auto"/>
        <w:rPr>
          <w:rFonts w:ascii="Times New Roman" w:hAnsi="Times New Roman" w:cs="Times New Roman"/>
          <w:sz w:val="22"/>
          <w:szCs w:val="22"/>
        </w:rPr>
      </w:pPr>
    </w:p>
    <w:p w14:paraId="523832B4" w14:textId="77777777" w:rsidR="0006756D" w:rsidRPr="00850CC8" w:rsidRDefault="0006756D"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The Protestant natural law revival adds a further dimension worth noting here. David VanDrunen’s recovery of the two-kingdoms framework grounds natural law in the image of God but tends to treat the moral knowledge available through that image as belonging to a distinct sphere from the redemptive-historical ethics of the new covenant. The common kingdom, governed by natural law and accessible to all image-bearers, and the redemptive kingdom, governed by the specific obligations of Christian discipleship, operate on different registers. That distinction has real hermeneutical value for questions of public theology, and VanDrunen has pressed it with rigor. But the present argument resists the underlying bifurcation.</w:t>
      </w:r>
    </w:p>
    <w:p w14:paraId="50FDF37D" w14:textId="77777777" w:rsidR="0006756D" w:rsidRPr="00850CC8" w:rsidRDefault="0006756D" w:rsidP="00850CC8">
      <w:pPr>
        <w:spacing w:line="276" w:lineRule="auto"/>
        <w:rPr>
          <w:rFonts w:ascii="Times New Roman" w:hAnsi="Times New Roman" w:cs="Times New Roman"/>
          <w:sz w:val="22"/>
          <w:szCs w:val="22"/>
        </w:rPr>
      </w:pPr>
    </w:p>
    <w:p w14:paraId="3972E2EB" w14:textId="77777777" w:rsidR="0006756D" w:rsidRPr="00850CC8" w:rsidRDefault="0006756D"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The relational constitution of the image is not two-layered, with a common rational core available to all and a specifically Christian relational layer available only to the redeemed. The image is the image of the triune God, and its relational structure is the same structure that the gospel renews. What the fall distorts and the gospel restores is not something added onto the natural image; it is the image itself. Natural law and redemptive ethics are not two separate tracks. They are two angles of vision on the single moral reality that the relational imago Dei generates. The redemptive work of Christ does not replace the moral order inscribed in creation. It recovers it, deepens it, and draws it toward the eschatological fullness for which it was always intended.</w:t>
      </w:r>
    </w:p>
    <w:p w14:paraId="0778296A" w14:textId="77777777" w:rsidR="0006756D" w:rsidRPr="00850CC8" w:rsidRDefault="0006756D" w:rsidP="00850CC8">
      <w:pPr>
        <w:spacing w:line="276" w:lineRule="auto"/>
        <w:rPr>
          <w:rFonts w:ascii="Times New Roman" w:hAnsi="Times New Roman" w:cs="Times New Roman"/>
          <w:sz w:val="22"/>
          <w:szCs w:val="22"/>
        </w:rPr>
      </w:pPr>
    </w:p>
    <w:p w14:paraId="27D98B65" w14:textId="77777777" w:rsidR="0006756D" w:rsidRPr="00850CC8" w:rsidRDefault="0006756D" w:rsidP="00850CC8">
      <w:pPr>
        <w:spacing w:before="480" w:after="240" w:line="276" w:lineRule="auto"/>
        <w:rPr>
          <w:rFonts w:ascii="Times New Roman" w:hAnsi="Times New Roman" w:cs="Times New Roman"/>
          <w:sz w:val="22"/>
          <w:szCs w:val="22"/>
        </w:rPr>
      </w:pPr>
      <w:r>
        <w:rPr>
          <w:rFonts w:ascii="Times New Roman" w:hAnsi="Times New Roman" w:cs="Times New Roman"/>
          <w:b/>
          <w:bCs/>
          <w:sz w:val="22"/>
          <w:szCs w:val="22"/>
        </w:rPr>
        <w:t>The Broken Image and the True Image-Bearer</w:t>
      </w:r>
    </w:p>
    <w:p w14:paraId="5FC56AE5" w14:textId="77777777" w:rsidR="0006756D" w:rsidRPr="00850CC8" w:rsidRDefault="0006756D" w:rsidP="00850CC8">
      <w:pPr>
        <w:spacing w:line="276" w:lineRule="auto"/>
        <w:jc w:val="both"/>
        <w:rPr>
          <w:rFonts w:ascii="Times New Roman" w:hAnsi="Times New Roman" w:cs="Times New Roman"/>
          <w:sz w:val="22"/>
          <w:szCs w:val="22"/>
        </w:rPr>
      </w:pPr>
      <w:r>
        <w:rPr>
          <w:rFonts w:ascii="Times New Roman" w:hAnsi="Times New Roman" w:cs="Times New Roman"/>
          <w:sz w:val="22"/>
          <w:szCs w:val="22"/>
        </w:rPr>
        <w:t xml:space="preserve">Any honest account of the imago Dei must reckon with what the narrative of Genesis makes clear in its early chapters: the image has been distorted. The creature made to represent God’s ordered, life-giving rule in the world has turned that rule inward, grasping at the divine prerogative rather than exercising the divine </w:t>
        <w:lastRenderedPageBreak/>
        <w:t>commission. The relations that were meant to reflect the Trinitarian pattern of mutual self-giving have become relations of domination, accusation, and flight.</w:t>
      </w:r>
    </w:p>
    <w:p w14:paraId="33A2BECA" w14:textId="77777777" w:rsidR="0006756D" w:rsidRPr="00850CC8" w:rsidRDefault="0006756D" w:rsidP="00850CC8">
      <w:pPr>
        <w:spacing w:line="276" w:lineRule="auto"/>
        <w:rPr>
          <w:rFonts w:ascii="Times New Roman" w:hAnsi="Times New Roman" w:cs="Times New Roman"/>
          <w:sz w:val="22"/>
          <w:szCs w:val="22"/>
        </w:rPr>
      </w:pPr>
    </w:p>
    <w:p w14:paraId="057E1EEF" w14:textId="77777777" w:rsidR="0006756D" w:rsidRPr="00850CC8" w:rsidRDefault="0006756D"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Genesis 3 does not say that the image has been destroyed. The dignity that attaches to image-bearing is reaffirmed as late as Genesis 9:6, where the prohibition of murder is grounded precisely in the fact that the human being to be murdered bears God’s image. The image persists through the fall and its consequences. But it persists as something distorted, turned from its proper orientation, expressing in broken form the relational pattern it was made to display in wholeness.</w:t>
      </w:r>
    </w:p>
    <w:p w14:paraId="5275583E" w14:textId="77777777" w:rsidR="0006756D" w:rsidRPr="00850CC8" w:rsidRDefault="0006756D" w:rsidP="00850CC8">
      <w:pPr>
        <w:spacing w:line="276" w:lineRule="auto"/>
        <w:rPr>
          <w:rFonts w:ascii="Times New Roman" w:hAnsi="Times New Roman" w:cs="Times New Roman"/>
          <w:sz w:val="22"/>
          <w:szCs w:val="22"/>
        </w:rPr>
      </w:pPr>
    </w:p>
    <w:p w14:paraId="7AC71CCF" w14:textId="77777777" w:rsidR="0006756D" w:rsidRPr="00850CC8" w:rsidRDefault="0006756D"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This distortion has direct ethical consequences. The relational obligations that flow from image-bearing are not suspended by the distortion of the image. The obligations remain; what is lost is the capacity to fulfill them consistently and well. The human being who knows, at some level, that they are made for the kind of mutual self-giving that the image requires, finds in practice that they cannot sustain it without the restoration that only the one who fully bears the image can provide.</w:t>
      </w:r>
    </w:p>
    <w:p w14:paraId="43A92CAE" w14:textId="77777777" w:rsidR="0006756D" w:rsidRPr="00850CC8" w:rsidRDefault="0006756D" w:rsidP="00850CC8">
      <w:pPr>
        <w:spacing w:line="276" w:lineRule="auto"/>
        <w:rPr>
          <w:rFonts w:ascii="Times New Roman" w:hAnsi="Times New Roman" w:cs="Times New Roman"/>
          <w:sz w:val="22"/>
          <w:szCs w:val="22"/>
        </w:rPr>
      </w:pPr>
    </w:p>
    <w:p w14:paraId="4C23F63D" w14:textId="77777777" w:rsidR="0006756D" w:rsidRPr="00850CC8" w:rsidRDefault="0006756D"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Which brings us to the christological center of the argument.</w:t>
      </w:r>
    </w:p>
    <w:p w14:paraId="1AAA52A3" w14:textId="77777777" w:rsidR="0006756D" w:rsidRPr="00850CC8" w:rsidRDefault="0006756D" w:rsidP="00850CC8">
      <w:pPr>
        <w:spacing w:line="276" w:lineRule="auto"/>
        <w:rPr>
          <w:rFonts w:ascii="Times New Roman" w:hAnsi="Times New Roman" w:cs="Times New Roman"/>
          <w:sz w:val="22"/>
          <w:szCs w:val="22"/>
        </w:rPr>
      </w:pPr>
    </w:p>
    <w:p w14:paraId="1330EDD7" w14:textId="77777777" w:rsidR="0006756D" w:rsidRPr="00850CC8" w:rsidRDefault="0006756D"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The New Testament writers, reading Genesis through the lens of the Incarnation, identified Jesus Christ as the true and perfect image-bearer. Paul’s language is explicit: Christ is “the image of the invisible God” (Colossians 1:15), “the exact imprint of his nature” (Hebrews 1:3). The writer of Colossians develops this identification in a direction directly relevant to the present argument: “He is the image of the invisible God, the firstborn of all creation. For by him all things were created” (1:15–16). The one who is the perfect image is also the one through whom the creation was made. The cosmic temple in which the image was to be displayed is made through and for the one who perfectly bears that image.</w:t>
      </w:r>
    </w:p>
    <w:p w14:paraId="5721148A" w14:textId="77777777" w:rsidR="0006756D" w:rsidRPr="00850CC8" w:rsidRDefault="0006756D" w:rsidP="00850CC8">
      <w:pPr>
        <w:spacing w:line="276" w:lineRule="auto"/>
        <w:rPr>
          <w:rFonts w:ascii="Times New Roman" w:hAnsi="Times New Roman" w:cs="Times New Roman"/>
          <w:sz w:val="22"/>
          <w:szCs w:val="22"/>
        </w:rPr>
      </w:pPr>
    </w:p>
    <w:p w14:paraId="2B1DDE42" w14:textId="77777777" w:rsidR="0006756D" w:rsidRPr="00850CC8" w:rsidRDefault="0006756D"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Wright draws out the ethical implication clearly. If Christ is the true image-bearer, then the renewal of the image in human beings, which Paul describes as being “conformed to the image of his Son” (Romans 8:29), as putting on “the new self, which is being renewed in knowledge after the image of its creator” (Colossians 3:10), is the restoration of the relational vocation that Genesis 1 commissioned and Genesis 3 distorted.</w:t>
      </w:r>
      <w:r>
        <w:rPr>
          <w:rFonts w:ascii="Times New Roman" w:hAnsi="Times New Roman" w:cs="Times New Roman"/>
          <w:sz w:val="22"/>
          <w:szCs w:val="22"/>
          <w:vertAlign w:val="superscript"/>
        </w:rPr>
        <w:t>6</w:t>
      </w:r>
      <w:r>
        <w:rPr>
          <w:rFonts w:ascii="Times New Roman" w:hAnsi="Times New Roman" w:cs="Times New Roman"/>
          <w:sz w:val="22"/>
          <w:szCs w:val="22"/>
        </w:rPr>
        <w:t xml:space="preserve"> To become more fully what we were made to be is to become more fully the kind of creature who lives the pattern of mutual, self-giving love that Christ himself embodies and that the inner life of the Trinity exemplifies.</w:t>
      </w:r>
    </w:p>
    <w:p w14:paraId="33E44193" w14:textId="77777777" w:rsidR="0006756D" w:rsidRPr="00850CC8" w:rsidRDefault="0006756D" w:rsidP="00850CC8">
      <w:pPr>
        <w:spacing w:line="276" w:lineRule="auto"/>
        <w:rPr>
          <w:rFonts w:ascii="Times New Roman" w:hAnsi="Times New Roman" w:cs="Times New Roman"/>
          <w:sz w:val="22"/>
          <w:szCs w:val="22"/>
        </w:rPr>
      </w:pPr>
    </w:p>
    <w:p w14:paraId="56B475B3" w14:textId="77777777" w:rsidR="0006756D" w:rsidRPr="00850CC8" w:rsidRDefault="0006756D"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The moral life, understood in this way, is not primarily about conforming to an external code. It is about the progressive restoration of an image, the recovery, in creaturely form, of the relational pattern that constitutes the divine life itself.</w:t>
      </w:r>
    </w:p>
    <w:p w14:paraId="641430F0" w14:textId="77777777" w:rsidR="0006756D" w:rsidRPr="00850CC8" w:rsidRDefault="0006756D" w:rsidP="00850CC8">
      <w:pPr>
        <w:spacing w:line="276" w:lineRule="auto"/>
        <w:rPr>
          <w:rFonts w:ascii="Times New Roman" w:hAnsi="Times New Roman" w:cs="Times New Roman"/>
          <w:sz w:val="22"/>
          <w:szCs w:val="22"/>
        </w:rPr>
      </w:pPr>
    </w:p>
    <w:p w14:paraId="75A64A04" w14:textId="77777777" w:rsidR="0006756D" w:rsidRPr="00850CC8" w:rsidRDefault="0006756D" w:rsidP="00850CC8">
      <w:pPr>
        <w:spacing w:before="480" w:after="240" w:line="276" w:lineRule="auto"/>
        <w:rPr>
          <w:rFonts w:ascii="Times New Roman" w:hAnsi="Times New Roman" w:cs="Times New Roman"/>
          <w:sz w:val="22"/>
          <w:szCs w:val="22"/>
        </w:rPr>
      </w:pPr>
      <w:r>
        <w:rPr>
          <w:rFonts w:ascii="Times New Roman" w:hAnsi="Times New Roman" w:cs="Times New Roman"/>
          <w:b/>
          <w:bCs/>
          <w:sz w:val="22"/>
          <w:szCs w:val="22"/>
        </w:rPr>
        <w:t>Obligation as the Shape of a Vocation</w:t>
      </w:r>
    </w:p>
    <w:p w14:paraId="07726BB3" w14:textId="77777777" w:rsidR="0006756D" w:rsidRPr="00850CC8" w:rsidRDefault="0006756D" w:rsidP="00850CC8">
      <w:pPr>
        <w:spacing w:line="276" w:lineRule="auto"/>
        <w:jc w:val="both"/>
        <w:rPr>
          <w:rFonts w:ascii="Times New Roman" w:hAnsi="Times New Roman" w:cs="Times New Roman"/>
          <w:sz w:val="22"/>
          <w:szCs w:val="22"/>
        </w:rPr>
      </w:pPr>
      <w:r>
        <w:rPr>
          <w:rFonts w:ascii="Times New Roman" w:hAnsi="Times New Roman" w:cs="Times New Roman"/>
          <w:sz w:val="22"/>
          <w:szCs w:val="22"/>
        </w:rPr>
        <w:t>The argument of this chapter points toward a conclusion important enough to state with some care.</w:t>
      </w:r>
    </w:p>
    <w:p w14:paraId="4B9A6966" w14:textId="77777777" w:rsidR="0006756D" w:rsidRPr="00850CC8" w:rsidRDefault="0006756D" w:rsidP="00850CC8">
      <w:pPr>
        <w:spacing w:line="276" w:lineRule="auto"/>
        <w:rPr>
          <w:rFonts w:ascii="Times New Roman" w:hAnsi="Times New Roman" w:cs="Times New Roman"/>
          <w:sz w:val="22"/>
          <w:szCs w:val="22"/>
        </w:rPr>
      </w:pPr>
    </w:p>
    <w:p w14:paraId="7DCA50CF" w14:textId="77777777" w:rsidR="0006756D" w:rsidRPr="00850CC8" w:rsidRDefault="0006756D"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 xml:space="preserve">The obligations that constitute the moral life, to care for those in our immediate relations, to deal justly with those more distant, to resist what destroys the flourishing of persons made in God’s image, are </w:t>
        <w:lastRenderedPageBreak/>
        <w:t>not, at their deepest level, requirements imposed on us from outside. They are expressions of what we are. They are the shape of the vocation that image-bearing entails.</w:t>
      </w:r>
    </w:p>
    <w:p w14:paraId="558AFE79" w14:textId="77777777" w:rsidR="0006756D" w:rsidRPr="00850CC8" w:rsidRDefault="0006756D" w:rsidP="00850CC8">
      <w:pPr>
        <w:spacing w:line="276" w:lineRule="auto"/>
        <w:rPr>
          <w:rFonts w:ascii="Times New Roman" w:hAnsi="Times New Roman" w:cs="Times New Roman"/>
          <w:sz w:val="22"/>
          <w:szCs w:val="22"/>
        </w:rPr>
      </w:pPr>
    </w:p>
    <w:p w14:paraId="505149BD" w14:textId="77777777" w:rsidR="0006756D" w:rsidRPr="00850CC8" w:rsidRDefault="0006756D"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This is not the same as saying that obligation is whatever we feel inclined to do. The distortion of the image means that our inclinations are not reliable guides to the relational pattern the image was made to display. What we feel and what we are made for can diverge dramatically, and one of the purposes of moral reflection, and of the moral formation that the Christian tradition calls sanctification, is to bring our inclinations into closer alignment with our constitution.</w:t>
      </w:r>
    </w:p>
    <w:p w14:paraId="5986B312" w14:textId="77777777" w:rsidR="0006756D" w:rsidRPr="00850CC8" w:rsidRDefault="0006756D" w:rsidP="00850CC8">
      <w:pPr>
        <w:spacing w:line="276" w:lineRule="auto"/>
        <w:rPr>
          <w:rFonts w:ascii="Times New Roman" w:hAnsi="Times New Roman" w:cs="Times New Roman"/>
          <w:sz w:val="22"/>
          <w:szCs w:val="22"/>
        </w:rPr>
      </w:pPr>
    </w:p>
    <w:p w14:paraId="1F90AA75" w14:textId="77777777" w:rsidR="0006756D" w:rsidRPr="00850CC8" w:rsidRDefault="0006756D"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But the important point is that the alignment being sought is not the imposition of an alien demand on an essentially self-sufficient creature. It is the restoration of a creature to the relational form that is most fully its own. When we love our neighbor as ourselves, we are not submitting to a requirement that stands over against our deeper interests. We are living in accordance with what we most fundamentally are: image-bearers of a God whose inner life is the eternal expression of exactly that reflexive, mutually given love.</w:t>
      </w:r>
    </w:p>
    <w:p w14:paraId="0BE81A15" w14:textId="77777777" w:rsidR="0006756D" w:rsidRPr="00850CC8" w:rsidRDefault="0006756D" w:rsidP="00850CC8">
      <w:pPr>
        <w:spacing w:line="276" w:lineRule="auto"/>
        <w:rPr>
          <w:rFonts w:ascii="Times New Roman" w:hAnsi="Times New Roman" w:cs="Times New Roman"/>
          <w:sz w:val="22"/>
          <w:szCs w:val="22"/>
        </w:rPr>
      </w:pPr>
    </w:p>
    <w:p w14:paraId="623D475B" w14:textId="77777777" w:rsidR="0006756D" w:rsidRPr="00850CC8" w:rsidRDefault="0006756D"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This reframes moral obligation in a way that has practical consequences. The person who experiences the demands of love as a burden to be discharged is not wrong to feel the weight of what is required. But they are experiencing love against the grain of the distorted image rather than with the grain of what they were made to be. The trajectory of the moral life, understood theologically as the progressive conformity to the image of Christ, is not toward a heavier burden but toward the recovery of a native capacity: the capacity to love as the God in whose image we are made eternally loves.</w:t>
      </w:r>
    </w:p>
    <w:p w14:paraId="63E762F2" w14:textId="77777777" w:rsidR="0006756D" w:rsidRPr="00850CC8" w:rsidRDefault="0006756D" w:rsidP="00850CC8">
      <w:pPr>
        <w:spacing w:line="276" w:lineRule="auto"/>
        <w:rPr>
          <w:rFonts w:ascii="Times New Roman" w:hAnsi="Times New Roman" w:cs="Times New Roman"/>
          <w:sz w:val="22"/>
          <w:szCs w:val="22"/>
        </w:rPr>
      </w:pPr>
    </w:p>
    <w:p w14:paraId="3ECBC58A" w14:textId="77777777" w:rsidR="0006756D" w:rsidRPr="00850CC8" w:rsidRDefault="0006756D"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The personalist tradition, approached from a philosophical rather than a biblical direction, has arrived at a strikingly convergent conclusion. Karol Wojtyła’s account of the “law of the gift” holds that the person is most fully herself not in the self-enclosed exercise of her capacities but in the free self-giving to another. Self-possession, on his account, is the precondition of self-donation rather than its opposite: only the person who truly has herself to give can give herself freely, and it is precisely in that giving that she discovers who she is.</w:t>
      </w:r>
      <w:r>
        <w:rPr>
          <w:rFonts w:ascii="Times New Roman" w:hAnsi="Times New Roman" w:cs="Times New Roman"/>
          <w:sz w:val="22"/>
          <w:szCs w:val="22"/>
          <w:vertAlign w:val="superscript"/>
        </w:rPr>
        <w:t>7</w:t>
      </w:r>
      <w:r>
        <w:rPr>
          <w:rFonts w:ascii="Times New Roman" w:hAnsi="Times New Roman" w:cs="Times New Roman"/>
          <w:sz w:val="22"/>
          <w:szCs w:val="22"/>
        </w:rPr>
        <w:t xml:space="preserve"> This is the philosophical translation of what the image theology establishes theologically. The creature made in the image of a God whose inner life is constituted by mutual self-giving finds her deepest identity not in self-assertion but in the responsive love that the prior love of God calls forth. Obligation, on this account, is not a burden laid upon a self that would otherwise be free. It is the native shape of a self whose constitution is relational from the beginning. Martin Luther King Jr.’s refusal to define his own humanity in terms of what his oppressors had done to him, his insistence on responding to hatred with the prior love that had already claimed both him and his persecutors, is the lived form of this argument. The obligation to love the enemy is not an imposition on the self. It is the assertion, against every denial, of what the self most fundamentally is: a person made in the image of the God who loved first.</w:t>
      </w:r>
    </w:p>
    <w:p w14:paraId="2A6620FE" w14:textId="77777777" w:rsidR="0006756D" w:rsidRPr="00850CC8" w:rsidRDefault="0006756D" w:rsidP="00850CC8">
      <w:pPr>
        <w:spacing w:line="276" w:lineRule="auto"/>
        <w:rPr>
          <w:rFonts w:ascii="Times New Roman" w:hAnsi="Times New Roman" w:cs="Times New Roman"/>
          <w:sz w:val="22"/>
          <w:szCs w:val="22"/>
        </w:rPr>
      </w:pPr>
    </w:p>
    <w:p w14:paraId="2B0C6C4B" w14:textId="77777777" w:rsidR="0006756D" w:rsidRPr="00850CC8" w:rsidRDefault="0006756D" w:rsidP="00850CC8">
      <w:pPr>
        <w:spacing w:before="480" w:after="240" w:line="276" w:lineRule="auto"/>
        <w:rPr>
          <w:rFonts w:ascii="Times New Roman" w:hAnsi="Times New Roman" w:cs="Times New Roman"/>
          <w:sz w:val="22"/>
          <w:szCs w:val="22"/>
        </w:rPr>
      </w:pPr>
      <w:r>
        <w:rPr>
          <w:rFonts w:ascii="Times New Roman" w:hAnsi="Times New Roman" w:cs="Times New Roman"/>
          <w:b/>
          <w:bCs/>
          <w:sz w:val="22"/>
          <w:szCs w:val="22"/>
        </w:rPr>
        <w:t>What This Means Going Forward</w:t>
      </w:r>
    </w:p>
    <w:p w14:paraId="16A33FAE" w14:textId="77777777" w:rsidR="0006756D" w:rsidRPr="00850CC8" w:rsidRDefault="0006756D" w:rsidP="00850CC8">
      <w:pPr>
        <w:spacing w:line="276" w:lineRule="auto"/>
        <w:jc w:val="both"/>
        <w:rPr>
          <w:rFonts w:ascii="Times New Roman" w:hAnsi="Times New Roman" w:cs="Times New Roman"/>
          <w:sz w:val="22"/>
          <w:szCs w:val="22"/>
        </w:rPr>
      </w:pPr>
      <w:r>
        <w:rPr>
          <w:rFonts w:ascii="Times New Roman" w:hAnsi="Times New Roman" w:cs="Times New Roman"/>
          <w:sz w:val="22"/>
          <w:szCs w:val="22"/>
        </w:rPr>
        <w:t>Three things established in this chapter will carry weight in the chapters that follow.</w:t>
      </w:r>
    </w:p>
    <w:p w14:paraId="0FCEC62A" w14:textId="77777777" w:rsidR="0006756D" w:rsidRPr="00850CC8" w:rsidRDefault="0006756D" w:rsidP="00850CC8">
      <w:pPr>
        <w:spacing w:line="276" w:lineRule="auto"/>
        <w:rPr>
          <w:rFonts w:ascii="Times New Roman" w:hAnsi="Times New Roman" w:cs="Times New Roman"/>
          <w:sz w:val="22"/>
          <w:szCs w:val="22"/>
        </w:rPr>
      </w:pPr>
    </w:p>
    <w:p w14:paraId="0A94E578" w14:textId="77777777" w:rsidR="0006756D" w:rsidRPr="00850CC8" w:rsidRDefault="0006756D"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 xml:space="preserve">The first is that human beings are constitutively relational. They are not self-sufficient individuals who subsequently choose to enter into relations with others. They are persons whose identity is shaped by </w:t>
        <w:lastRenderedPageBreak/>
        <w:t>the relations they inhabit, because they are made in the image of a God whose personhood is constituted by relation. The obligations arising from particular relations are not peripheral additions to the moral life. They are among its most basic features.</w:t>
      </w:r>
    </w:p>
    <w:p w14:paraId="0D33E684" w14:textId="77777777" w:rsidR="0006756D" w:rsidRPr="00850CC8" w:rsidRDefault="0006756D" w:rsidP="00850CC8">
      <w:pPr>
        <w:spacing w:line="276" w:lineRule="auto"/>
        <w:rPr>
          <w:rFonts w:ascii="Times New Roman" w:hAnsi="Times New Roman" w:cs="Times New Roman"/>
          <w:sz w:val="22"/>
          <w:szCs w:val="22"/>
        </w:rPr>
      </w:pPr>
    </w:p>
    <w:p w14:paraId="1B1F1917" w14:textId="77777777" w:rsidR="0006756D" w:rsidRPr="00850CC8" w:rsidRDefault="0006756D"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The second is that the functional and relational dimensions of the image are inseparable. To be commissioned to represent God’s rule in the world is to be commissioned to embody God’s relational character in the world. You cannot do the first without doing the second. The ethics of image-bearing is always, therefore, both an ethics of action and an ethics of relation.</w:t>
      </w:r>
    </w:p>
    <w:p w14:paraId="1312579B" w14:textId="77777777" w:rsidR="0006756D" w:rsidRPr="00850CC8" w:rsidRDefault="0006756D" w:rsidP="00850CC8">
      <w:pPr>
        <w:spacing w:line="276" w:lineRule="auto"/>
        <w:rPr>
          <w:rFonts w:ascii="Times New Roman" w:hAnsi="Times New Roman" w:cs="Times New Roman"/>
          <w:sz w:val="22"/>
          <w:szCs w:val="22"/>
        </w:rPr>
      </w:pPr>
    </w:p>
    <w:p w14:paraId="41B79D64" w14:textId="77777777" w:rsidR="0006756D" w:rsidRPr="00850CC8" w:rsidRDefault="0006756D"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The third is that moral obligation is the shape of a vocation, not the imposition of an alien demand. The obligations that the moral life requires are expressions of what image-bearing creatures are made to do and be. They can be distorted by the fall, resisted by sin, and recovered only through the renewal that conformity to the true image-bearer makes possible. But they are not foreign to what we are. They are native to it.</w:t>
      </w:r>
    </w:p>
    <w:p w14:paraId="3C1DD521" w14:textId="77777777" w:rsidR="0006756D" w:rsidRPr="00850CC8" w:rsidRDefault="0006756D" w:rsidP="00850CC8">
      <w:pPr>
        <w:spacing w:line="276" w:lineRule="auto"/>
        <w:rPr>
          <w:rFonts w:ascii="Times New Roman" w:hAnsi="Times New Roman" w:cs="Times New Roman"/>
          <w:sz w:val="22"/>
          <w:szCs w:val="22"/>
        </w:rPr>
      </w:pPr>
    </w:p>
    <w:p w14:paraId="5F86179F" w14:textId="77777777" w:rsidR="0006756D" w:rsidRPr="00850CC8" w:rsidRDefault="0006756D"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Chapter Four turns from the ontological foundation to the practical shape. If image-bearing creatures are constitutively relational, what does the moral life actually look like when it is lived from that constitution? The answer involves four qualities, that ethics is relational, reflective, situational, and personal, that turn out to be not four independent claims but four dimensions of a single reality: the reality of persons made in the image of the triune God, living in a world that bears the marks of that image, and called to the kind of life that the image, restored in Christ, makes possible.</w:t>
      </w:r>
    </w:p>
    <w:p w14:paraId="3645174A" w14:textId="77777777" w:rsidR="0006756D" w:rsidRPr="00850CC8" w:rsidRDefault="0006756D" w:rsidP="00850CC8">
      <w:pPr>
        <w:spacing w:line="276" w:lineRule="auto"/>
        <w:rPr>
          <w:rFonts w:ascii="Times New Roman" w:hAnsi="Times New Roman" w:cs="Times New Roman"/>
          <w:sz w:val="22"/>
          <w:szCs w:val="22"/>
        </w:rPr>
      </w:pPr>
    </w:p>
    <w:p w14:paraId="139B3446" w14:textId="77777777" w:rsidR="0006756D" w:rsidRPr="00850CC8" w:rsidRDefault="0006756D" w:rsidP="00850CC8">
      <w:pPr>
        <w:spacing w:line="276" w:lineRule="auto"/>
        <w:rPr>
          <w:rFonts w:ascii="Times New Roman" w:hAnsi="Times New Roman" w:cs="Times New Roman"/>
          <w:sz w:val="22"/>
          <w:szCs w:val="22"/>
        </w:rPr>
      </w:pPr>
    </w:p>
    <w:p w14:paraId="4431125C" w14:textId="77777777" w:rsidR="0006756D" w:rsidRPr="00850CC8" w:rsidRDefault="0006756D" w:rsidP="00850CC8">
      <w:pPr>
        <w:spacing w:before="480" w:after="240" w:line="276" w:lineRule="auto"/>
        <w:rPr>
          <w:rFonts w:ascii="Times New Roman" w:hAnsi="Times New Roman" w:cs="Times New Roman"/>
          <w:sz w:val="22"/>
          <w:szCs w:val="22"/>
        </w:rPr>
      </w:pPr>
      <w:r>
        <w:rPr>
          <w:rFonts w:ascii="Times New Roman" w:hAnsi="Times New Roman" w:cs="Times New Roman"/>
          <w:b/>
          <w:bCs/>
          <w:sz w:val="22"/>
          <w:szCs w:val="22"/>
        </w:rPr>
        <w:t>Notes</w:t>
      </w:r>
    </w:p>
    <w:p w14:paraId="299A1E5A" w14:textId="77777777" w:rsidR="0006756D" w:rsidRPr="00850CC8" w:rsidRDefault="0006756D" w:rsidP="00850CC8">
      <w:pPr>
        <w:spacing w:before="120" w:line="276" w:lineRule="auto"/>
        <w:ind w:firstLine="720"/>
        <w:jc w:val="both"/>
        <w:rPr>
          <w:rFonts w:ascii="Times New Roman" w:hAnsi="Times New Roman" w:cs="Times New Roman"/>
          <w:sz w:val="22"/>
          <w:szCs w:val="22"/>
        </w:rPr>
      </w:pPr>
      <w:r>
        <w:rPr>
          <w:rFonts w:ascii="Times New Roman" w:hAnsi="Times New Roman" w:cs="Times New Roman"/>
          <w:sz w:val="22"/>
          <w:szCs w:val="22"/>
        </w:rPr>
        <w:t xml:space="preserve">1. J. Richard Middleton, </w:t>
      </w:r>
      <w:r>
        <w:rPr>
          <w:rFonts w:ascii="Times New Roman" w:hAnsi="Times New Roman" w:cs="Times New Roman"/>
          <w:i/>
          <w:iCs/>
          <w:sz w:val="22"/>
          <w:szCs w:val="22"/>
        </w:rPr>
        <w:t>The Liberating Image: The Imago Dei in Genesis 1</w:t>
      </w:r>
      <w:r>
        <w:rPr>
          <w:rFonts w:ascii="Times New Roman" w:hAnsi="Times New Roman" w:cs="Times New Roman"/>
          <w:sz w:val="22"/>
          <w:szCs w:val="22"/>
        </w:rPr>
        <w:t xml:space="preserve"> (Grand Rapids: Brazos Press, 2005), 45–90. Middleton’s survey of the ancient Near Eastern background for the image language is thorough and widely accepted. His argument for the “royal-functional” interpretation has shaped subsequent evangelical discussion, though not without contestation. For a response that seeks to hold functional and structural dimensions together, see John F. Kilner, </w:t>
      </w:r>
      <w:r>
        <w:rPr>
          <w:rFonts w:ascii="Times New Roman" w:hAnsi="Times New Roman" w:cs="Times New Roman"/>
          <w:i/>
          <w:iCs/>
          <w:sz w:val="22"/>
          <w:szCs w:val="22"/>
        </w:rPr>
        <w:t>Dignity and Destiny: Humanity in the Image of God</w:t>
      </w:r>
      <w:r>
        <w:rPr>
          <w:rFonts w:ascii="Times New Roman" w:hAnsi="Times New Roman" w:cs="Times New Roman"/>
          <w:sz w:val="22"/>
          <w:szCs w:val="22"/>
        </w:rPr>
        <w:t xml:space="preserve"> (Grand Rapids: Eerdmans, 2015), 89–132.</w:t>
      </w:r>
    </w:p>
    <w:p w14:paraId="188B2EC0" w14:textId="77777777" w:rsidR="0006756D" w:rsidRPr="00850CC8" w:rsidRDefault="0006756D" w:rsidP="00850CC8">
      <w:pPr>
        <w:spacing w:line="276" w:lineRule="auto"/>
        <w:rPr>
          <w:rFonts w:ascii="Times New Roman" w:hAnsi="Times New Roman" w:cs="Times New Roman"/>
          <w:sz w:val="22"/>
          <w:szCs w:val="22"/>
        </w:rPr>
      </w:pPr>
    </w:p>
    <w:p w14:paraId="2E8D3D3D" w14:textId="77777777" w:rsidR="0006756D" w:rsidRPr="00850CC8" w:rsidRDefault="0006756D" w:rsidP="00850CC8">
      <w:pPr>
        <w:spacing w:before="120" w:line="276" w:lineRule="auto"/>
        <w:ind w:firstLine="720"/>
        <w:jc w:val="both"/>
        <w:rPr>
          <w:rFonts w:ascii="Times New Roman" w:hAnsi="Times New Roman" w:cs="Times New Roman"/>
          <w:sz w:val="22"/>
          <w:szCs w:val="22"/>
        </w:rPr>
      </w:pPr>
      <w:r>
        <w:rPr>
          <w:rFonts w:ascii="Times New Roman" w:hAnsi="Times New Roman" w:cs="Times New Roman"/>
          <w:sz w:val="22"/>
          <w:szCs w:val="22"/>
        </w:rPr>
        <w:t xml:space="preserve">2. Michael S. Heiser, </w:t>
      </w:r>
      <w:r>
        <w:rPr>
          <w:rFonts w:ascii="Times New Roman" w:hAnsi="Times New Roman" w:cs="Times New Roman"/>
          <w:i/>
          <w:iCs/>
          <w:sz w:val="22"/>
          <w:szCs w:val="22"/>
        </w:rPr>
        <w:t>The Unseen Realm: Recovering the Supernatural Worldview of the Bible</w:t>
      </w:r>
      <w:r>
        <w:rPr>
          <w:rFonts w:ascii="Times New Roman" w:hAnsi="Times New Roman" w:cs="Times New Roman"/>
          <w:sz w:val="22"/>
          <w:szCs w:val="22"/>
        </w:rPr>
        <w:t xml:space="preserve"> (Bellingham: Lexham Press, 2015), 36–48. Heiser’s argument that the “us” of Genesis 1:26 reflects the divine council context of ancient Israelite theology is developed with attention to the full range of biblical and ancient Near Eastern evidence. For a more cautious assessment, see Gordon J. Wenham, </w:t>
      </w:r>
      <w:r>
        <w:rPr>
          <w:rFonts w:ascii="Times New Roman" w:hAnsi="Times New Roman" w:cs="Times New Roman"/>
          <w:i/>
          <w:iCs/>
          <w:sz w:val="22"/>
          <w:szCs w:val="22"/>
        </w:rPr>
        <w:t>Genesis 1–15</w:t>
      </w:r>
      <w:r>
        <w:rPr>
          <w:rFonts w:ascii="Times New Roman" w:hAnsi="Times New Roman" w:cs="Times New Roman"/>
          <w:sz w:val="22"/>
          <w:szCs w:val="22"/>
        </w:rPr>
        <w:t>, Word Biblical Commentary (Waco: Word Books, 1987), 27–28, who surveys the main interpretive options without committing definitively to any.</w:t>
      </w:r>
    </w:p>
    <w:p w14:paraId="7B731D8E" w14:textId="77777777" w:rsidR="0006756D" w:rsidRPr="00850CC8" w:rsidRDefault="0006756D" w:rsidP="00850CC8">
      <w:pPr>
        <w:spacing w:line="276" w:lineRule="auto"/>
        <w:rPr>
          <w:rFonts w:ascii="Times New Roman" w:hAnsi="Times New Roman" w:cs="Times New Roman"/>
          <w:sz w:val="22"/>
          <w:szCs w:val="22"/>
        </w:rPr>
      </w:pPr>
    </w:p>
    <w:p w14:paraId="0A41CCF8" w14:textId="77777777" w:rsidR="0006756D" w:rsidRPr="00850CC8" w:rsidRDefault="0006756D" w:rsidP="00850CC8">
      <w:pPr>
        <w:spacing w:before="120" w:line="276" w:lineRule="auto"/>
        <w:ind w:firstLine="720"/>
        <w:jc w:val="both"/>
        <w:rPr>
          <w:rFonts w:ascii="Times New Roman" w:hAnsi="Times New Roman" w:cs="Times New Roman"/>
          <w:sz w:val="22"/>
          <w:szCs w:val="22"/>
        </w:rPr>
      </w:pPr>
      <w:r>
        <w:rPr>
          <w:rFonts w:ascii="Times New Roman" w:hAnsi="Times New Roman" w:cs="Times New Roman"/>
          <w:sz w:val="22"/>
          <w:szCs w:val="22"/>
        </w:rPr>
        <w:t xml:space="preserve">3. Stanley J. Grenz, </w:t>
      </w:r>
      <w:r>
        <w:rPr>
          <w:rFonts w:ascii="Times New Roman" w:hAnsi="Times New Roman" w:cs="Times New Roman"/>
          <w:i/>
          <w:iCs/>
          <w:sz w:val="22"/>
          <w:szCs w:val="22"/>
        </w:rPr>
        <w:t>The Social God and the Relational Self: A Trinitarian Theology of the Imago Dei</w:t>
      </w:r>
      <w:r>
        <w:rPr>
          <w:rFonts w:ascii="Times New Roman" w:hAnsi="Times New Roman" w:cs="Times New Roman"/>
          <w:sz w:val="22"/>
          <w:szCs w:val="22"/>
        </w:rPr>
        <w:t xml:space="preserve"> (Louisville: Westminster John Knox, 2001), 168–204. Grenz’s argument that the imago is a relational rather than individual reality is developed through a sustained engagement with both the biblical material </w:t>
        <w:lastRenderedPageBreak/>
        <w:t>and the theological tradition. His conversation with Zizioulas and with social Trinitarian theology is directly relevant to the argument of the present book.</w:t>
      </w:r>
    </w:p>
    <w:p w14:paraId="19610DA7" w14:textId="77777777" w:rsidR="0006756D" w:rsidRPr="00850CC8" w:rsidRDefault="0006756D" w:rsidP="00850CC8">
      <w:pPr>
        <w:spacing w:line="276" w:lineRule="auto"/>
        <w:rPr>
          <w:rFonts w:ascii="Times New Roman" w:hAnsi="Times New Roman" w:cs="Times New Roman"/>
          <w:sz w:val="22"/>
          <w:szCs w:val="22"/>
        </w:rPr>
      </w:pPr>
    </w:p>
    <w:p w14:paraId="3B55850D" w14:textId="77777777" w:rsidR="0006756D" w:rsidRPr="00850CC8" w:rsidRDefault="0006756D" w:rsidP="00850CC8">
      <w:pPr>
        <w:spacing w:before="120" w:line="276" w:lineRule="auto"/>
        <w:ind w:firstLine="720"/>
        <w:jc w:val="both"/>
        <w:rPr>
          <w:rFonts w:ascii="Times New Roman" w:hAnsi="Times New Roman" w:cs="Times New Roman"/>
          <w:sz w:val="22"/>
          <w:szCs w:val="22"/>
        </w:rPr>
      </w:pPr>
      <w:r>
        <w:rPr>
          <w:rFonts w:ascii="Times New Roman" w:hAnsi="Times New Roman" w:cs="Times New Roman"/>
          <w:sz w:val="22"/>
          <w:szCs w:val="22"/>
        </w:rPr>
        <w:t xml:space="preserve">4. N. T. Wright, “Imagining the Kingdom: Mission and Theology in Early Christianity,” </w:t>
      </w:r>
      <w:r>
        <w:rPr>
          <w:rFonts w:ascii="Times New Roman" w:hAnsi="Times New Roman" w:cs="Times New Roman"/>
          <w:i/>
          <w:iCs/>
          <w:sz w:val="22"/>
          <w:szCs w:val="22"/>
        </w:rPr>
        <w:t>Scottish Journal of Theology</w:t>
      </w:r>
      <w:r>
        <w:rPr>
          <w:rFonts w:ascii="Times New Roman" w:hAnsi="Times New Roman" w:cs="Times New Roman"/>
          <w:sz w:val="22"/>
          <w:szCs w:val="22"/>
        </w:rPr>
        <w:t xml:space="preserve"> 65, no. 4 (2012): 379–401. Wright develops the temple-image connection more fully in </w:t>
      </w:r>
      <w:r>
        <w:rPr>
          <w:rFonts w:ascii="Times New Roman" w:hAnsi="Times New Roman" w:cs="Times New Roman"/>
          <w:i/>
          <w:iCs/>
          <w:sz w:val="22"/>
          <w:szCs w:val="22"/>
        </w:rPr>
        <w:t>The Day the Revolution Began: Reconsidering the Meaning of Jesus’s Crucifixion</w:t>
      </w:r>
      <w:r>
        <w:rPr>
          <w:rFonts w:ascii="Times New Roman" w:hAnsi="Times New Roman" w:cs="Times New Roman"/>
          <w:sz w:val="22"/>
          <w:szCs w:val="22"/>
        </w:rPr>
        <w:t xml:space="preserve"> (San Francisco: HarperOne, 2016), 74–103. For the ancient Near Eastern background to cosmic temple theology, see John H. Walton, </w:t>
      </w:r>
      <w:r>
        <w:rPr>
          <w:rFonts w:ascii="Times New Roman" w:hAnsi="Times New Roman" w:cs="Times New Roman"/>
          <w:i/>
          <w:iCs/>
          <w:sz w:val="22"/>
          <w:szCs w:val="22"/>
        </w:rPr>
        <w:t>The Lost World of Genesis One: Ancient Cosmology and the Origins Debate</w:t>
      </w:r>
      <w:r>
        <w:rPr>
          <w:rFonts w:ascii="Times New Roman" w:hAnsi="Times New Roman" w:cs="Times New Roman"/>
          <w:sz w:val="22"/>
          <w:szCs w:val="22"/>
        </w:rPr>
        <w:t xml:space="preserve"> (Downers Grove: IVP Academic, 2009), 78–92.</w:t>
      </w:r>
    </w:p>
    <w:p w14:paraId="5ADE2534" w14:textId="77777777" w:rsidR="0006756D" w:rsidRPr="00850CC8" w:rsidRDefault="0006756D" w:rsidP="00850CC8">
      <w:pPr>
        <w:spacing w:line="276" w:lineRule="auto"/>
        <w:rPr>
          <w:rFonts w:ascii="Times New Roman" w:hAnsi="Times New Roman" w:cs="Times New Roman"/>
          <w:sz w:val="22"/>
          <w:szCs w:val="22"/>
        </w:rPr>
      </w:pPr>
    </w:p>
    <w:p w14:paraId="174621CC" w14:textId="77777777" w:rsidR="0006756D" w:rsidRPr="00850CC8" w:rsidRDefault="0006756D" w:rsidP="00850CC8">
      <w:pPr>
        <w:spacing w:before="120" w:line="276" w:lineRule="auto"/>
        <w:ind w:firstLine="720"/>
        <w:jc w:val="both"/>
        <w:rPr>
          <w:rFonts w:ascii="Times New Roman" w:hAnsi="Times New Roman" w:cs="Times New Roman"/>
          <w:sz w:val="22"/>
          <w:szCs w:val="22"/>
        </w:rPr>
      </w:pPr>
      <w:r>
        <w:rPr>
          <w:rFonts w:ascii="Times New Roman" w:hAnsi="Times New Roman" w:cs="Times New Roman"/>
          <w:sz w:val="22"/>
          <w:szCs w:val="22"/>
        </w:rPr>
        <w:t xml:space="preserve">5. Grenz, </w:t>
      </w:r>
      <w:r>
        <w:rPr>
          <w:rFonts w:ascii="Times New Roman" w:hAnsi="Times New Roman" w:cs="Times New Roman"/>
          <w:i/>
          <w:iCs/>
          <w:sz w:val="22"/>
          <w:szCs w:val="22"/>
        </w:rPr>
        <w:t>The Social God and the Relational Self</w:t>
      </w:r>
      <w:r>
        <w:rPr>
          <w:rFonts w:ascii="Times New Roman" w:hAnsi="Times New Roman" w:cs="Times New Roman"/>
          <w:sz w:val="22"/>
          <w:szCs w:val="22"/>
        </w:rPr>
        <w:t xml:space="preserve">, 271–305. The connection Grenz draws between the male-female differentiation of Genesis 1:27 and the social complexity of the Trinity is one of the most generative moves in his argument. For a similar argument developed from a different theological tradition, see David L. Schindler, </w:t>
      </w:r>
      <w:r>
        <w:rPr>
          <w:rFonts w:ascii="Times New Roman" w:hAnsi="Times New Roman" w:cs="Times New Roman"/>
          <w:i/>
          <w:iCs/>
          <w:sz w:val="22"/>
          <w:szCs w:val="22"/>
        </w:rPr>
        <w:t>Heart of the World, Center of the Church: Communio Ecclesiology, Liberalism, and Liberation</w:t>
      </w:r>
      <w:r>
        <w:rPr>
          <w:rFonts w:ascii="Times New Roman" w:hAnsi="Times New Roman" w:cs="Times New Roman"/>
          <w:sz w:val="22"/>
          <w:szCs w:val="22"/>
        </w:rPr>
        <w:t xml:space="preserve"> (Grand Rapids: Eerdmans, 1996), 195–228. The natural law treatment in Aquinas is </w:t>
      </w:r>
      <w:r>
        <w:rPr>
          <w:rFonts w:ascii="Times New Roman" w:hAnsi="Times New Roman" w:cs="Times New Roman"/>
          <w:i/>
          <w:iCs/>
          <w:sz w:val="22"/>
          <w:szCs w:val="22"/>
        </w:rPr>
        <w:t>Summa Theologiae</w:t>
      </w:r>
      <w:r>
        <w:rPr>
          <w:rFonts w:ascii="Times New Roman" w:hAnsi="Times New Roman" w:cs="Times New Roman"/>
          <w:sz w:val="22"/>
          <w:szCs w:val="22"/>
        </w:rPr>
        <w:t xml:space="preserve"> I–II, qq. 90–94; the grounding of natural law in the imago Dei is made explicit at I, q. 93. For a rigorous contemporary development, see John Finnis, </w:t>
      </w:r>
      <w:r>
        <w:rPr>
          <w:rFonts w:ascii="Times New Roman" w:hAnsi="Times New Roman" w:cs="Times New Roman"/>
          <w:i/>
          <w:iCs/>
          <w:sz w:val="22"/>
          <w:szCs w:val="22"/>
        </w:rPr>
        <w:t>Natural Law and Natural Rights</w:t>
      </w:r>
      <w:r>
        <w:rPr>
          <w:rFonts w:ascii="Times New Roman" w:hAnsi="Times New Roman" w:cs="Times New Roman"/>
          <w:sz w:val="22"/>
          <w:szCs w:val="22"/>
        </w:rPr>
        <w:t xml:space="preserve"> (Oxford: Clarendon Press, 1980), 59–99. J. Budziszewski, </w:t>
      </w:r>
      <w:r>
        <w:rPr>
          <w:rFonts w:ascii="Times New Roman" w:hAnsi="Times New Roman" w:cs="Times New Roman"/>
          <w:i/>
          <w:iCs/>
          <w:sz w:val="22"/>
          <w:szCs w:val="22"/>
        </w:rPr>
        <w:t>Written on the Heart: The Case for Natural Law</w:t>
      </w:r>
      <w:r>
        <w:rPr>
          <w:rFonts w:ascii="Times New Roman" w:hAnsi="Times New Roman" w:cs="Times New Roman"/>
          <w:sz w:val="22"/>
          <w:szCs w:val="22"/>
        </w:rPr>
        <w:t xml:space="preserve"> (Downers Grove: InterVarsity Press, 1997), offers an evangelical engagement with the tradition that converges at several points with the argument of this chapter. David VanDrunen’s two-kingdoms framework is developed in </w:t>
      </w:r>
      <w:r>
        <w:rPr>
          <w:rFonts w:ascii="Times New Roman" w:hAnsi="Times New Roman" w:cs="Times New Roman"/>
          <w:i/>
          <w:iCs/>
          <w:sz w:val="22"/>
          <w:szCs w:val="22"/>
        </w:rPr>
        <w:t>A Biblical Case for Natural Law</w:t>
      </w:r>
      <w:r>
        <w:rPr>
          <w:rFonts w:ascii="Times New Roman" w:hAnsi="Times New Roman" w:cs="Times New Roman"/>
          <w:sz w:val="22"/>
          <w:szCs w:val="22"/>
        </w:rPr>
        <w:t xml:space="preserve"> (Grand Rapids: Acton Institute, 2006) and </w:t>
      </w:r>
      <w:r>
        <w:rPr>
          <w:rFonts w:ascii="Times New Roman" w:hAnsi="Times New Roman" w:cs="Times New Roman"/>
          <w:i/>
          <w:iCs/>
          <w:sz w:val="22"/>
          <w:szCs w:val="22"/>
        </w:rPr>
        <w:t>Natural Law and the Two Kingdoms: A Study in the Development of Reformed Social Thought</w:t>
      </w:r>
      <w:r>
        <w:rPr>
          <w:rFonts w:ascii="Times New Roman" w:hAnsi="Times New Roman" w:cs="Times New Roman"/>
          <w:sz w:val="22"/>
          <w:szCs w:val="22"/>
        </w:rPr>
        <w:t xml:space="preserve"> (Grand Rapids: Eerdmans, 2010). For a critical engagement with VanDrunen from within the Reformed tradition, see John Frame, </w:t>
      </w:r>
      <w:r>
        <w:rPr>
          <w:rFonts w:ascii="Times New Roman" w:hAnsi="Times New Roman" w:cs="Times New Roman"/>
          <w:i/>
          <w:iCs/>
          <w:sz w:val="22"/>
          <w:szCs w:val="22"/>
        </w:rPr>
        <w:t>The Escondido Theology: A Reformed Response to Two Kingdom Theology</w:t>
      </w:r>
      <w:r>
        <w:rPr>
          <w:rFonts w:ascii="Times New Roman" w:hAnsi="Times New Roman" w:cs="Times New Roman"/>
          <w:sz w:val="22"/>
          <w:szCs w:val="22"/>
        </w:rPr>
        <w:t xml:space="preserve"> (Lakeland: Whitefield Media Productions, 2011). On Romans 2:14–15 as the Pauline locus for universal moral knowledge, see Thomas R. Schreiner, </w:t>
      </w:r>
      <w:r>
        <w:rPr>
          <w:rFonts w:ascii="Times New Roman" w:hAnsi="Times New Roman" w:cs="Times New Roman"/>
          <w:i/>
          <w:iCs/>
          <w:sz w:val="22"/>
          <w:szCs w:val="22"/>
        </w:rPr>
        <w:t>Romans</w:t>
      </w:r>
      <w:r>
        <w:rPr>
          <w:rFonts w:ascii="Times New Roman" w:hAnsi="Times New Roman" w:cs="Times New Roman"/>
          <w:sz w:val="22"/>
          <w:szCs w:val="22"/>
        </w:rPr>
        <w:t>, Baker Exegetical Commentary on the New Testament (Grand Rapids: Baker Academic, 1998), 118–27.</w:t>
      </w:r>
    </w:p>
    <w:p w14:paraId="788B43C8" w14:textId="77777777" w:rsidR="0006756D" w:rsidRPr="00850CC8" w:rsidRDefault="0006756D" w:rsidP="00850CC8">
      <w:pPr>
        <w:spacing w:line="276" w:lineRule="auto"/>
        <w:rPr>
          <w:rFonts w:ascii="Times New Roman" w:hAnsi="Times New Roman" w:cs="Times New Roman"/>
          <w:sz w:val="22"/>
          <w:szCs w:val="22"/>
        </w:rPr>
      </w:pPr>
    </w:p>
    <w:p w14:paraId="11B44419" w14:textId="77777777" w:rsidR="0006756D" w:rsidRPr="00850CC8" w:rsidRDefault="0006756D" w:rsidP="00850CC8">
      <w:pPr>
        <w:spacing w:before="120" w:line="276" w:lineRule="auto"/>
        <w:ind w:firstLine="720"/>
        <w:jc w:val="both"/>
        <w:rPr>
          <w:rFonts w:ascii="Times New Roman" w:hAnsi="Times New Roman" w:cs="Times New Roman"/>
          <w:sz w:val="22"/>
          <w:szCs w:val="22"/>
        </w:rPr>
      </w:pPr>
      <w:r>
        <w:rPr>
          <w:rFonts w:ascii="Times New Roman" w:hAnsi="Times New Roman" w:cs="Times New Roman"/>
          <w:sz w:val="22"/>
          <w:szCs w:val="22"/>
        </w:rPr>
        <w:t xml:space="preserve">6. Wright, </w:t>
      </w:r>
      <w:r>
        <w:rPr>
          <w:rFonts w:ascii="Times New Roman" w:hAnsi="Times New Roman" w:cs="Times New Roman"/>
          <w:i/>
          <w:iCs/>
          <w:sz w:val="22"/>
          <w:szCs w:val="22"/>
        </w:rPr>
        <w:t>The Day the Revolution Began</w:t>
      </w:r>
      <w:r>
        <w:rPr>
          <w:rFonts w:ascii="Times New Roman" w:hAnsi="Times New Roman" w:cs="Times New Roman"/>
          <w:sz w:val="22"/>
          <w:szCs w:val="22"/>
        </w:rPr>
        <w:t xml:space="preserve">, 295–318. Wright’s account of the renewal of the image in Christ is developed at greater length in </w:t>
      </w:r>
      <w:r>
        <w:rPr>
          <w:rFonts w:ascii="Times New Roman" w:hAnsi="Times New Roman" w:cs="Times New Roman"/>
          <w:i/>
          <w:iCs/>
          <w:sz w:val="22"/>
          <w:szCs w:val="22"/>
        </w:rPr>
        <w:t>Paul and the Faithfulness of God</w:t>
      </w:r>
      <w:r>
        <w:rPr>
          <w:rFonts w:ascii="Times New Roman" w:hAnsi="Times New Roman" w:cs="Times New Roman"/>
          <w:sz w:val="22"/>
          <w:szCs w:val="22"/>
        </w:rPr>
        <w:t xml:space="preserve">, 2 vols. (Minneapolis: Fortress, 2013), 2:1023–42. For a careful treatment of the connection between christological image-renewal and ethical transformation in Paul, see Richard B. Hays, </w:t>
      </w:r>
      <w:r>
        <w:rPr>
          <w:rFonts w:ascii="Times New Roman" w:hAnsi="Times New Roman" w:cs="Times New Roman"/>
          <w:i/>
          <w:iCs/>
          <w:sz w:val="22"/>
          <w:szCs w:val="22"/>
        </w:rPr>
        <w:t>The Moral Vision of the New Testament: Community, Cross, New Creation</w:t>
      </w:r>
      <w:r>
        <w:rPr>
          <w:rFonts w:ascii="Times New Roman" w:hAnsi="Times New Roman" w:cs="Times New Roman"/>
          <w:sz w:val="22"/>
          <w:szCs w:val="22"/>
        </w:rPr>
        <w:t xml:space="preserve"> (San Francisco: HarperOne, 1996), 19–36.</w:t>
      </w:r>
    </w:p>
    <w:p w14:paraId="4BA5310C" w14:textId="77777777" w:rsidR="0006756D" w:rsidRPr="00850CC8" w:rsidRDefault="0006756D" w:rsidP="00850CC8">
      <w:pPr>
        <w:spacing w:line="276" w:lineRule="auto"/>
        <w:rPr>
          <w:rFonts w:ascii="Times New Roman" w:hAnsi="Times New Roman" w:cs="Times New Roman"/>
          <w:sz w:val="22"/>
          <w:szCs w:val="22"/>
        </w:rPr>
      </w:pPr>
    </w:p>
    <w:p w14:paraId="1B577B85" w14:textId="77777777" w:rsidR="0006756D" w:rsidRPr="00850CC8" w:rsidRDefault="0006756D" w:rsidP="00850CC8">
      <w:pPr>
        <w:spacing w:before="120" w:line="276" w:lineRule="auto"/>
        <w:ind w:firstLine="720"/>
        <w:jc w:val="both"/>
        <w:rPr>
          <w:rFonts w:ascii="Times New Roman" w:hAnsi="Times New Roman" w:cs="Times New Roman"/>
          <w:sz w:val="22"/>
          <w:szCs w:val="22"/>
        </w:rPr>
      </w:pPr>
      <w:r>
        <w:rPr>
          <w:rFonts w:ascii="Times New Roman" w:hAnsi="Times New Roman" w:cs="Times New Roman"/>
          <w:sz w:val="22"/>
          <w:szCs w:val="22"/>
        </w:rPr>
        <w:t xml:space="preserve">7. Karol Wojtyła, </w:t>
      </w:r>
      <w:r>
        <w:rPr>
          <w:rFonts w:ascii="Times New Roman" w:hAnsi="Times New Roman" w:cs="Times New Roman"/>
          <w:i/>
          <w:iCs/>
          <w:sz w:val="22"/>
          <w:szCs w:val="22"/>
        </w:rPr>
        <w:t>Person and Act</w:t>
      </w:r>
      <w:r>
        <w:rPr>
          <w:rFonts w:ascii="Times New Roman" w:hAnsi="Times New Roman" w:cs="Times New Roman"/>
          <w:sz w:val="22"/>
          <w:szCs w:val="22"/>
        </w:rPr>
        <w:t xml:space="preserve">, trans. Andrzej Potocki (Dordrecht: D. Reidel, 1979), 294–300. The “law of the gift” language draws on </w:t>
      </w:r>
      <w:r>
        <w:rPr>
          <w:rFonts w:ascii="Times New Roman" w:hAnsi="Times New Roman" w:cs="Times New Roman"/>
          <w:i/>
          <w:iCs/>
          <w:sz w:val="22"/>
          <w:szCs w:val="22"/>
        </w:rPr>
        <w:t>Gaudium et Spes</w:t>
      </w:r>
      <w:r>
        <w:rPr>
          <w:rFonts w:ascii="Times New Roman" w:hAnsi="Times New Roman" w:cs="Times New Roman"/>
          <w:sz w:val="22"/>
          <w:szCs w:val="22"/>
        </w:rPr>
        <w:t xml:space="preserve"> 24, where the Second Vatican Council states that the human person “cannot fully find himself except through a sincere gift of himself.” Wojtyła’s phenomenological elaboration of this principle, grounded in his analysis of the structure of self-possession and self-governance, argues that the capacity for real self-donation is not a diminishment of personhood but its highest exercise. For the connection to King, see Rufus Burrow Jr., </w:t>
      </w:r>
      <w:r>
        <w:rPr>
          <w:rFonts w:ascii="Times New Roman" w:hAnsi="Times New Roman" w:cs="Times New Roman"/>
          <w:i/>
          <w:iCs/>
          <w:sz w:val="22"/>
          <w:szCs w:val="22"/>
        </w:rPr>
        <w:t>God and Human Dignity: The Personalism, Theology, and Ethics of Martin Luther King, Jr.</w:t>
      </w:r>
      <w:r>
        <w:rPr>
          <w:rFonts w:ascii="Times New Roman" w:hAnsi="Times New Roman" w:cs="Times New Roman"/>
          <w:sz w:val="22"/>
          <w:szCs w:val="22"/>
        </w:rPr>
        <w:t xml:space="preserve"> (Notre Dame: University of Notre Dame Press, 2006), 156–82. Burrow’s account of King’s refusal to define himself by the terms his oppressors imposed, and his insistence on responding to dehumanization with an affirmation of the shared image-</w:t>
        <w:lastRenderedPageBreak/>
        <w:t>bearing dignity of both oppressed and oppressor, is the most vivid contemporary illustration of the “obligation as native shape” argument this chapter is making.</w:t>
      </w:r>
    </w:p>
    <w:p w14:paraId="02B40948" w14:textId="77777777" w:rsidR="008910E5" w:rsidRPr="00850CC8" w:rsidRDefault="008910E5" w:rsidP="00850CC8">
      <w:pPr>
        <w:spacing w:after="120" w:line="276" w:lineRule="auto"/>
        <w:ind w:left="360" w:hanging="360"/>
        <w:rPr>
          <w:rFonts w:ascii="Times New Roman" w:hAnsi="Times New Roman" w:cs="Times New Roman"/>
          <w:sz w:val="22"/>
          <w:szCs w:val="22"/>
        </w:rPr>
      </w:pPr>
    </w:p>
    <w:p w14:paraId="154738D8" w14:textId="685C8418" w:rsidR="00B12FCF" w:rsidRPr="00850CC8" w:rsidRDefault="00B12FCF" w:rsidP="00850CC8">
      <w:pPr>
        <w:spacing w:line="276" w:lineRule="auto"/>
        <w:rPr>
          <w:rFonts w:ascii="Times New Roman" w:hAnsi="Times New Roman" w:cs="Times New Roman"/>
          <w:sz w:val="22"/>
          <w:szCs w:val="22"/>
        </w:rPr>
      </w:pPr>
      <w:r>
        <w:rPr>
          <w:rFonts w:ascii="Times New Roman" w:hAnsi="Times New Roman" w:cs="Times New Roman"/>
          <w:sz w:val="22"/>
          <w:szCs w:val="22"/>
        </w:rPr>
        <w:br w:type="page"/>
      </w:r>
    </w:p>
    <w:p w14:paraId="6AE9D030" w14:textId="77777777" w:rsidR="00B12FCF" w:rsidRPr="00850CC8" w:rsidRDefault="00B12FCF" w:rsidP="00850CC8">
      <w:pPr>
        <w:pStyle w:val="Heading1"/>
        <w:spacing w:line="276" w:lineRule="auto"/>
        <w:jc w:val="center"/>
        <w:rPr>
          <w:rFonts w:ascii="Times New Roman" w:hAnsi="Times New Roman" w:cs="Times New Roman"/>
          <w:color w:val="000000" w:themeColor="text1"/>
          <w:sz w:val="22"/>
          <w:szCs w:val="22"/>
        </w:rPr>
      </w:pPr>
      <w:bookmarkStart w:id="7" w:name="_Toc228335813"/>
      <w:r>
        <w:rPr>
          <w:rFonts w:ascii="Times New Roman" w:hAnsi="Times New Roman" w:cs="Times New Roman"/>
          <w:color w:val="000000" w:themeColor="text1"/>
          <w:sz w:val="22"/>
          <w:szCs w:val="22"/>
        </w:rPr>
        <w:lastRenderedPageBreak/>
        <w:t>Chapter Four</w:t>
        <w:br/>
        <w:t>The Shape of a Moral Life</w:t>
      </w:r>
      <w:bookmarkEnd w:id="7"/>
    </w:p>
    <w:p w14:paraId="26E4AE76" w14:textId="77777777" w:rsidR="00B12FCF" w:rsidRPr="00850CC8" w:rsidRDefault="00B12FCF" w:rsidP="00850CC8">
      <w:pPr>
        <w:pStyle w:val="Heading1"/>
        <w:spacing w:line="276" w:lineRule="auto"/>
        <w:jc w:val="center"/>
        <w:rPr>
          <w:rFonts w:ascii="Times New Roman" w:hAnsi="Times New Roman" w:cs="Times New Roman"/>
          <w:color w:val="000000" w:themeColor="text1"/>
          <w:sz w:val="22"/>
          <w:szCs w:val="22"/>
        </w:rPr>
      </w:pPr>
    </w:p>
    <w:p w14:paraId="2E05A36F" w14:textId="77777777" w:rsidR="00B12FCF" w:rsidRPr="00850CC8" w:rsidRDefault="00B12FCF" w:rsidP="00850CC8">
      <w:pPr>
        <w:spacing w:line="276" w:lineRule="auto"/>
        <w:jc w:val="both"/>
        <w:rPr>
          <w:rFonts w:ascii="Times New Roman" w:hAnsi="Times New Roman" w:cs="Times New Roman"/>
          <w:sz w:val="22"/>
          <w:szCs w:val="22"/>
        </w:rPr>
      </w:pPr>
      <w:r>
        <w:rPr>
          <w:rFonts w:ascii="Times New Roman" w:hAnsi="Times New Roman" w:cs="Times New Roman"/>
          <w:sz w:val="22"/>
          <w:szCs w:val="22"/>
        </w:rPr>
        <w:t>The previous three chapters have been building a foundation. Chapter One traced the difficulty that runs through the major traditions of Western moral philosophy: a systematic underestimation of the relational texture of moral life, rooted in the assumption that the individual considered in abstraction is the proper starting point for ethical reasoning. Chapter Two argued that the foundation of moral life requires the triune life of God, whose perichoretic character, mutual, self-giving, reflexive, and ordered, provides the ontological ground for the claim that persons are made for relation rather than isolation. Chapter Three developed the anthropological side of that claim through the imago Dei, arguing that human beings are constitutively relational, commissioned to represent a relational God in a world made to bear the marks of that relation, and that moral obligation is accordingly the shape of a vocation rather than the imposition of an alien demand.</w:t>
      </w:r>
    </w:p>
    <w:p w14:paraId="295BA681" w14:textId="77777777" w:rsidR="00B12FCF" w:rsidRPr="00850CC8" w:rsidRDefault="00B12FCF" w:rsidP="00850CC8">
      <w:pPr>
        <w:spacing w:line="276" w:lineRule="auto"/>
        <w:rPr>
          <w:rFonts w:ascii="Times New Roman" w:hAnsi="Times New Roman" w:cs="Times New Roman"/>
          <w:sz w:val="22"/>
          <w:szCs w:val="22"/>
        </w:rPr>
      </w:pPr>
    </w:p>
    <w:p w14:paraId="3C0F59C9" w14:textId="77777777" w:rsidR="00B12FCF" w:rsidRPr="00850CC8" w:rsidRDefault="00B12FCF"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What remains is to say, with some precision, what the moral life looks like when it is lived from that foundation. This is the chapter’s task. It takes up four qualities that the framework developed in the preceding chapters generates, and argues that these four qualities, that ethics is relational, reflective, situational, and personal, are not four independent claims to be defended separately, but four dimensions of a single reality. They illuminate one another. Each one, pressed far enough, opens into the others. And taken together, they describe not an abstract ethical system but the actual texture of a moral life shaped by the character of the triune God and the vocation of image-bearing.</w:t>
      </w:r>
    </w:p>
    <w:p w14:paraId="33F45354" w14:textId="77777777" w:rsidR="00B12FCF" w:rsidRPr="00850CC8" w:rsidRDefault="00B12FCF" w:rsidP="00850CC8">
      <w:pPr>
        <w:spacing w:line="276" w:lineRule="auto"/>
        <w:rPr>
          <w:rFonts w:ascii="Times New Roman" w:hAnsi="Times New Roman" w:cs="Times New Roman"/>
          <w:sz w:val="22"/>
          <w:szCs w:val="22"/>
        </w:rPr>
      </w:pPr>
    </w:p>
    <w:p w14:paraId="3F2D9927" w14:textId="77777777" w:rsidR="00B12FCF" w:rsidRPr="00850CC8" w:rsidRDefault="00B12FCF"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A preliminary note is worth making before proceeding. The four qualities described in this chapter are not novel inventions. Each one has been noticed and developed, in various forms, by thoughtful people working within traditions quite different from the one this book inhabits. What is being argued is not that the Trinitarian framework yields unique moral insights unavailable to anyone else. It is the Trinitarian framework that provides the ground that explains why these qualities are not merely pragmatically useful but metaphysically true, why they are features of moral reality rather than accommodations to human complexity. The observations are widely available. The account of why they are true is what the preceding chapters have been building.</w:t>
      </w:r>
    </w:p>
    <w:p w14:paraId="53594CA0" w14:textId="77777777" w:rsidR="00B12FCF" w:rsidRPr="00850CC8" w:rsidRDefault="00B12FCF" w:rsidP="00850CC8">
      <w:pPr>
        <w:spacing w:line="276" w:lineRule="auto"/>
        <w:rPr>
          <w:rFonts w:ascii="Times New Roman" w:hAnsi="Times New Roman" w:cs="Times New Roman"/>
          <w:sz w:val="22"/>
          <w:szCs w:val="22"/>
        </w:rPr>
      </w:pPr>
    </w:p>
    <w:p w14:paraId="23DD7FB3" w14:textId="77777777" w:rsidR="00B12FCF" w:rsidRPr="00850CC8" w:rsidRDefault="00B12FCF" w:rsidP="00850CC8">
      <w:pPr>
        <w:spacing w:before="480" w:after="240" w:line="276" w:lineRule="auto"/>
        <w:rPr>
          <w:rFonts w:ascii="Times New Roman" w:hAnsi="Times New Roman" w:cs="Times New Roman"/>
          <w:sz w:val="22"/>
          <w:szCs w:val="22"/>
        </w:rPr>
      </w:pPr>
      <w:r>
        <w:rPr>
          <w:rFonts w:ascii="Times New Roman" w:hAnsi="Times New Roman" w:cs="Times New Roman"/>
          <w:b/>
          <w:bCs/>
          <w:sz w:val="22"/>
          <w:szCs w:val="22"/>
        </w:rPr>
        <w:t>Ethics Is Relational</w:t>
      </w:r>
    </w:p>
    <w:p w14:paraId="0378CD3F" w14:textId="77777777" w:rsidR="00B12FCF" w:rsidRPr="00850CC8" w:rsidRDefault="00B12FCF" w:rsidP="00850CC8">
      <w:pPr>
        <w:spacing w:line="276" w:lineRule="auto"/>
        <w:jc w:val="both"/>
        <w:rPr>
          <w:rFonts w:ascii="Times New Roman" w:hAnsi="Times New Roman" w:cs="Times New Roman"/>
          <w:sz w:val="22"/>
          <w:szCs w:val="22"/>
        </w:rPr>
      </w:pPr>
      <w:r>
        <w:rPr>
          <w:rFonts w:ascii="Times New Roman" w:hAnsi="Times New Roman" w:cs="Times New Roman"/>
          <w:sz w:val="22"/>
          <w:szCs w:val="22"/>
        </w:rPr>
        <w:t xml:space="preserve">The claim that ethics is relational sounds obvious until you notice how thoroughly the dominant traditions of Western moral philosophy have resisted it. The utilitarian calculates consequences from a standpoint of impartiality: my happiness and your happiness count equally, and the identity of the person affected is morally irrelevant to the weight assigned to their welfare. The Kantian legislates from a position of universality: the principle that governs my conduct must be one I could will to govern the conduct of any rational agent in any comparable situation. The contractarian designs principles from behind a veil of ignorance that systematically removes knowledge of one’s particular relations, histories, and attachments. </w:t>
        <w:lastRenderedPageBreak/>
        <w:t>In each case, the framework achieves the objectivity it seeks by abstracting away from precisely the relational particularity that the moral life actually involves.</w:t>
      </w:r>
    </w:p>
    <w:p w14:paraId="4C66ADD9" w14:textId="77777777" w:rsidR="00B12FCF" w:rsidRPr="00850CC8" w:rsidRDefault="00B12FCF" w:rsidP="00850CC8">
      <w:pPr>
        <w:spacing w:line="276" w:lineRule="auto"/>
        <w:rPr>
          <w:rFonts w:ascii="Times New Roman" w:hAnsi="Times New Roman" w:cs="Times New Roman"/>
          <w:sz w:val="22"/>
          <w:szCs w:val="22"/>
        </w:rPr>
      </w:pPr>
    </w:p>
    <w:p w14:paraId="1A282E02" w14:textId="77777777" w:rsidR="00B12FCF" w:rsidRPr="00850CC8" w:rsidRDefault="00B12FCF"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Samuel Scheffler has pressed, from within analytic philosophy, the case that this abstraction leaves out something that is not peripheral to moral life but central to it. His argument is that special obligations, the obligations that arise from particular relationships such as friendship, family, and long-term commitment, are not complications to be accommodated after we have worked out the general theory. They are among the most basic features of moral life, and any framework that cannot account for them is failing to account for the moral life as human beings actually live it.</w:t>
      </w:r>
      <w:r>
        <w:rPr>
          <w:rFonts w:ascii="Times New Roman" w:hAnsi="Times New Roman" w:cs="Times New Roman"/>
          <w:sz w:val="22"/>
          <w:szCs w:val="22"/>
          <w:vertAlign w:val="superscript"/>
        </w:rPr>
        <w:t>1</w:t>
      </w:r>
    </w:p>
    <w:p w14:paraId="1279C3D8" w14:textId="77777777" w:rsidR="00B12FCF" w:rsidRPr="00850CC8" w:rsidRDefault="00B12FCF" w:rsidP="00850CC8">
      <w:pPr>
        <w:spacing w:line="276" w:lineRule="auto"/>
        <w:rPr>
          <w:rFonts w:ascii="Times New Roman" w:hAnsi="Times New Roman" w:cs="Times New Roman"/>
          <w:sz w:val="22"/>
          <w:szCs w:val="22"/>
        </w:rPr>
      </w:pPr>
    </w:p>
    <w:p w14:paraId="645AE306" w14:textId="77777777" w:rsidR="00B12FCF" w:rsidRPr="00850CC8" w:rsidRDefault="00B12FCF"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The point is not simply that we feel strong pulls toward the people we love. The point is that those pulls are morally appropriate. The obligation I bear to my child is not a special case of the obligation I bear to strangers, intensified by sentiment and accommodated to a particular context. It is a different kind of obligation, arising from a different kind of relationship, carrying a weight that no calculation from universal principles can generate or explain. Bernard Williams captured this with characteristic directness in his observation that a man who has to deliberate about whether to save his drowning wife by running through the calculus of impartial duty has, in that moment, “one thought too many.”</w:t>
      </w:r>
      <w:r>
        <w:rPr>
          <w:rFonts w:ascii="Times New Roman" w:hAnsi="Times New Roman" w:cs="Times New Roman"/>
          <w:sz w:val="22"/>
          <w:szCs w:val="22"/>
          <w:vertAlign w:val="superscript"/>
        </w:rPr>
        <w:t>2</w:t>
      </w:r>
      <w:r>
        <w:rPr>
          <w:rFonts w:ascii="Times New Roman" w:hAnsi="Times New Roman" w:cs="Times New Roman"/>
          <w:sz w:val="22"/>
          <w:szCs w:val="22"/>
        </w:rPr>
        <w:t xml:space="preserve"> The relationship is itself the moral reason. It requires no supplementation from a more fundamental principle.</w:t>
      </w:r>
    </w:p>
    <w:p w14:paraId="0DC447CE" w14:textId="77777777" w:rsidR="00B12FCF" w:rsidRPr="00850CC8" w:rsidRDefault="00B12FCF" w:rsidP="00850CC8">
      <w:pPr>
        <w:spacing w:line="276" w:lineRule="auto"/>
        <w:rPr>
          <w:rFonts w:ascii="Times New Roman" w:hAnsi="Times New Roman" w:cs="Times New Roman"/>
          <w:sz w:val="22"/>
          <w:szCs w:val="22"/>
        </w:rPr>
      </w:pPr>
    </w:p>
    <w:p w14:paraId="3E036F85" w14:textId="77777777" w:rsidR="00B12FCF" w:rsidRPr="00850CC8" w:rsidRDefault="00B12FCF"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The Trinitarian framework developed in this book explains why this is so rather than simply noting that it is. If human beings are constitutively relational, if they are persons whose identity is shaped by the relations they inhabit, because they are made in the image of a God whose personhood is constituted by relation, then the obligations that particular relations generate are not contingent additions to the moral life. They are expressions of what persons are. The relation is not posterior to the obligation; the obligation flows from the relation because the relation is constitutive of the person who bears it.</w:t>
      </w:r>
    </w:p>
    <w:p w14:paraId="24DA184F" w14:textId="77777777" w:rsidR="00B12FCF" w:rsidRPr="00850CC8" w:rsidRDefault="00B12FCF" w:rsidP="00850CC8">
      <w:pPr>
        <w:spacing w:line="276" w:lineRule="auto"/>
        <w:rPr>
          <w:rFonts w:ascii="Times New Roman" w:hAnsi="Times New Roman" w:cs="Times New Roman"/>
          <w:sz w:val="22"/>
          <w:szCs w:val="22"/>
        </w:rPr>
      </w:pPr>
    </w:p>
    <w:p w14:paraId="5DE3641E" w14:textId="77777777" w:rsidR="00B12FCF" w:rsidRPr="00850CC8" w:rsidRDefault="00B12FCF"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This does not mean that all obligations are equal, or that the obligations arising from particular relations exhaust the moral life. We have obligations to strangers as well as to intimates, to distant others as well as to those close at hand. What the relational character of ethics means is that these obligations differ in kind as well as degree, and that the difference in kind corresponds to the difference in relational proximity. The obligation I bear to a stranger is real and morally serious. It is not, however, the same obligation that I bear to my spouse or my child, any more than the obligation God bore toward Israel was the same as the obligation he bore toward the nations outside the covenant. The relational structure of ethics is not a license for indifference to those outside our circle of intimacy. It is an account of why different relations generate actually different obligations rather than merely different intensities of the same obligation.</w:t>
      </w:r>
    </w:p>
    <w:p w14:paraId="7784AF6F" w14:textId="77777777" w:rsidR="00B12FCF" w:rsidRPr="00850CC8" w:rsidRDefault="00B12FCF" w:rsidP="00850CC8">
      <w:pPr>
        <w:spacing w:line="276" w:lineRule="auto"/>
        <w:rPr>
          <w:rFonts w:ascii="Times New Roman" w:hAnsi="Times New Roman" w:cs="Times New Roman"/>
          <w:sz w:val="22"/>
          <w:szCs w:val="22"/>
        </w:rPr>
      </w:pPr>
    </w:p>
    <w:p w14:paraId="384B1BAD" w14:textId="77777777" w:rsidR="00B12FCF" w:rsidRPr="00850CC8" w:rsidRDefault="00B12FCF" w:rsidP="00850CC8">
      <w:pPr>
        <w:spacing w:before="480" w:after="240" w:line="276" w:lineRule="auto"/>
        <w:rPr>
          <w:rFonts w:ascii="Times New Roman" w:hAnsi="Times New Roman" w:cs="Times New Roman"/>
          <w:sz w:val="22"/>
          <w:szCs w:val="22"/>
        </w:rPr>
      </w:pPr>
      <w:r>
        <w:rPr>
          <w:rFonts w:ascii="Times New Roman" w:hAnsi="Times New Roman" w:cs="Times New Roman"/>
          <w:b/>
          <w:bCs/>
          <w:sz w:val="22"/>
          <w:szCs w:val="22"/>
        </w:rPr>
        <w:t>Ethics Is Reflective</w:t>
      </w:r>
    </w:p>
    <w:p w14:paraId="34719A7C" w14:textId="77777777" w:rsidR="00B12FCF" w:rsidRPr="00850CC8" w:rsidRDefault="00B12FCF" w:rsidP="00850CC8">
      <w:pPr>
        <w:spacing w:line="276" w:lineRule="auto"/>
        <w:jc w:val="both"/>
        <w:rPr>
          <w:rFonts w:ascii="Times New Roman" w:hAnsi="Times New Roman" w:cs="Times New Roman"/>
          <w:sz w:val="22"/>
          <w:szCs w:val="22"/>
        </w:rPr>
      </w:pPr>
      <w:r>
        <w:rPr>
          <w:rFonts w:ascii="Times New Roman" w:hAnsi="Times New Roman" w:cs="Times New Roman"/>
          <w:sz w:val="22"/>
          <w:szCs w:val="22"/>
        </w:rPr>
        <w:t xml:space="preserve">The second quality requires a word of explanation before it can be understood. By “reflective” I do not mean simply that ethical reasoning involves reflection, careful thought, considered judgment, attention to principles and their application. All serious ethical frameworks involve that much. The term is being used here in its more precise sense: the moral life has a reflexive structure, in which the self is included as a </w:t>
        <w:lastRenderedPageBreak/>
        <w:t>proper object of moral regard alongside the other, and in which the agent’s own experience of receiving or not receiving good treatment provides the normative measure for how the other is to be treated.</w:t>
      </w:r>
    </w:p>
    <w:p w14:paraId="05404A56" w14:textId="77777777" w:rsidR="00B12FCF" w:rsidRPr="00850CC8" w:rsidRDefault="00B12FCF" w:rsidP="00850CC8">
      <w:pPr>
        <w:spacing w:line="276" w:lineRule="auto"/>
        <w:rPr>
          <w:rFonts w:ascii="Times New Roman" w:hAnsi="Times New Roman" w:cs="Times New Roman"/>
          <w:sz w:val="22"/>
          <w:szCs w:val="22"/>
        </w:rPr>
      </w:pPr>
    </w:p>
    <w:p w14:paraId="0E707D11" w14:textId="77777777" w:rsidR="00B12FCF" w:rsidRPr="00850CC8" w:rsidRDefault="00B12FCF"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This reflexive structure is encoded in the Golden Rule, to which Chapter Five will give extended attention. For now it is enough to notice what the structure implies. “Love your neighbor as yourself” does not say instead of yourself, or more than yourself, or at the expense of yourself. The phrase “as yourself” establishes the agent’s own experience of being loved, cared for, and justly treated as the normative baseline from which neighbor-love proceeds. The self is not negated in the act of moral attention to the other. It is included, as the measure, and as itself a proper object of the same kind of care.</w:t>
      </w:r>
    </w:p>
    <w:p w14:paraId="0C7AB505" w14:textId="77777777" w:rsidR="00B12FCF" w:rsidRPr="00850CC8" w:rsidRDefault="00B12FCF" w:rsidP="00850CC8">
      <w:pPr>
        <w:spacing w:line="276" w:lineRule="auto"/>
        <w:rPr>
          <w:rFonts w:ascii="Times New Roman" w:hAnsi="Times New Roman" w:cs="Times New Roman"/>
          <w:sz w:val="22"/>
          <w:szCs w:val="22"/>
        </w:rPr>
      </w:pPr>
    </w:p>
    <w:p w14:paraId="5A7F2B00" w14:textId="77777777" w:rsidR="00B12FCF" w:rsidRPr="00850CC8" w:rsidRDefault="00B12FCF"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Iris Murdoch identified something closely related to this when she argued that the central moral task is not the application of principles but the cultivation of a particular quality of attention: what she called “just and loving attention” to the particular reality of another person.</w:t>
      </w:r>
      <w:r>
        <w:rPr>
          <w:rFonts w:ascii="Times New Roman" w:hAnsi="Times New Roman" w:cs="Times New Roman"/>
          <w:sz w:val="22"/>
          <w:szCs w:val="22"/>
          <w:vertAlign w:val="superscript"/>
        </w:rPr>
        <w:t>3</w:t>
      </w:r>
      <w:r>
        <w:rPr>
          <w:rFonts w:ascii="Times New Roman" w:hAnsi="Times New Roman" w:cs="Times New Roman"/>
          <w:sz w:val="22"/>
          <w:szCs w:val="22"/>
        </w:rPr>
        <w:t xml:space="preserve"> What is morally required, on Murdoch’s account, is not primarily the performance of correct actions but the development of a way of seeing, a capacity to perceive other persons as they actually are, rather than as the distorting lens of self-concern tends to make them appear. The obstacle to moral life, in this account, is not primarily weakness of will but what Murdoch calls the “fat relentless ego”: the tendency to colonize our perception of others with our own desires, anxieties, and projections.</w:t>
      </w:r>
    </w:p>
    <w:p w14:paraId="5BA182F4" w14:textId="77777777" w:rsidR="00B12FCF" w:rsidRPr="00850CC8" w:rsidRDefault="00B12FCF" w:rsidP="00850CC8">
      <w:pPr>
        <w:spacing w:line="276" w:lineRule="auto"/>
        <w:rPr>
          <w:rFonts w:ascii="Times New Roman" w:hAnsi="Times New Roman" w:cs="Times New Roman"/>
          <w:sz w:val="22"/>
          <w:szCs w:val="22"/>
        </w:rPr>
      </w:pPr>
    </w:p>
    <w:p w14:paraId="5E29B051" w14:textId="77777777" w:rsidR="00B12FCF" w:rsidRPr="00850CC8" w:rsidRDefault="00B12FCF"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What the reflexive structure of the Golden Rule adds to Murdoch’s account is a positive content that her version of moral attention sometimes lacks. Murdoch is illuminating on what gets in the way of moral vision, the distorting pressure of the self, but the corrective she proposes is primarily a kind of self-effacement: unselfing, attending away from the self toward the other. The Golden Rule’s reflexive structure suggests a more complex and, I think, more accurate account. The self is not the obstacle to be overcome in moral attention. It is the measure. The experience of receiving love, care, and just treatment is not a distraction from moral attention to the other; it is the source from which that attention draws its content.</w:t>
      </w:r>
    </w:p>
    <w:p w14:paraId="005DFFED" w14:textId="77777777" w:rsidR="00B12FCF" w:rsidRPr="00850CC8" w:rsidRDefault="00B12FCF" w:rsidP="00850CC8">
      <w:pPr>
        <w:spacing w:line="276" w:lineRule="auto"/>
        <w:rPr>
          <w:rFonts w:ascii="Times New Roman" w:hAnsi="Times New Roman" w:cs="Times New Roman"/>
          <w:sz w:val="22"/>
          <w:szCs w:val="22"/>
        </w:rPr>
      </w:pPr>
    </w:p>
    <w:p w14:paraId="312FDB2D" w14:textId="77777777" w:rsidR="00B12FCF" w:rsidRPr="00850CC8" w:rsidRDefault="00B12FCF"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The theological basis for this is the Trinitarian pattern described in Chapter Two. In the perichoretic life of the Trinity, proper regard for the self and proper love of the other are not in competition but mutually constitutive. The Father’s love for the Son does not require the Father to negate himself; it is the expression of what the Father most fully is. The Son’s return of love to the Father does not subordinate the Son to a merely receptive role; it is the fullness of his personal existence. The reflexive structure of the moral life is not a human accommodation to psychological limitation. It is a creaturely participation in the pattern that constitutes the divine life itself.</w:t>
      </w:r>
    </w:p>
    <w:p w14:paraId="13F80A0B" w14:textId="77777777" w:rsidR="00B12FCF" w:rsidRPr="00850CC8" w:rsidRDefault="00B12FCF" w:rsidP="00850CC8">
      <w:pPr>
        <w:spacing w:line="276" w:lineRule="auto"/>
        <w:rPr>
          <w:rFonts w:ascii="Times New Roman" w:hAnsi="Times New Roman" w:cs="Times New Roman"/>
          <w:sz w:val="22"/>
          <w:szCs w:val="22"/>
        </w:rPr>
      </w:pPr>
    </w:p>
    <w:p w14:paraId="2DA60ECE" w14:textId="77777777" w:rsidR="00B12FCF" w:rsidRPr="00850CC8" w:rsidRDefault="00B12FCF" w:rsidP="00850CC8">
      <w:pPr>
        <w:spacing w:before="480" w:after="240" w:line="276" w:lineRule="auto"/>
        <w:rPr>
          <w:rFonts w:ascii="Times New Roman" w:hAnsi="Times New Roman" w:cs="Times New Roman"/>
          <w:sz w:val="22"/>
          <w:szCs w:val="22"/>
        </w:rPr>
      </w:pPr>
      <w:r>
        <w:rPr>
          <w:rFonts w:ascii="Times New Roman" w:hAnsi="Times New Roman" w:cs="Times New Roman"/>
          <w:b/>
          <w:bCs/>
          <w:sz w:val="22"/>
          <w:szCs w:val="22"/>
        </w:rPr>
        <w:t>Ethics Is Situational</w:t>
      </w:r>
    </w:p>
    <w:p w14:paraId="5692C143" w14:textId="77777777" w:rsidR="00B12FCF" w:rsidRPr="00850CC8" w:rsidRDefault="00B12FCF" w:rsidP="00850CC8">
      <w:pPr>
        <w:spacing w:line="276" w:lineRule="auto"/>
        <w:jc w:val="both"/>
        <w:rPr>
          <w:rFonts w:ascii="Times New Roman" w:hAnsi="Times New Roman" w:cs="Times New Roman"/>
          <w:sz w:val="22"/>
          <w:szCs w:val="22"/>
        </w:rPr>
      </w:pPr>
      <w:r>
        <w:rPr>
          <w:rFonts w:ascii="Times New Roman" w:hAnsi="Times New Roman" w:cs="Times New Roman"/>
          <w:sz w:val="22"/>
          <w:szCs w:val="22"/>
        </w:rPr>
        <w:t xml:space="preserve">The claim that ethics is situational requires some care, because the term has been used to describe a position, “situation ethics” in the form developed by Joseph Fletcher in the 1960s, that is not what is being argued here. Fletcher’s proposal was that love is the only moral absolute, and that in any given situation the loving thing to do is whatever produces the best outcome, with no further constraints from principles, rules, or moral traditions. This is not situational ethics in the sense intended by the present argument. It is a form of </w:t>
        <w:lastRenderedPageBreak/>
        <w:t>consequentialism with a single evaluative criterion, and it faces all the difficulties that attend consequentialism generally.</w:t>
      </w:r>
    </w:p>
    <w:p w14:paraId="570D0BAB" w14:textId="77777777" w:rsidR="00B12FCF" w:rsidRPr="00850CC8" w:rsidRDefault="00B12FCF" w:rsidP="00850CC8">
      <w:pPr>
        <w:spacing w:line="276" w:lineRule="auto"/>
        <w:rPr>
          <w:rFonts w:ascii="Times New Roman" w:hAnsi="Times New Roman" w:cs="Times New Roman"/>
          <w:sz w:val="22"/>
          <w:szCs w:val="22"/>
        </w:rPr>
      </w:pPr>
    </w:p>
    <w:p w14:paraId="2A858147" w14:textId="77777777" w:rsidR="00B12FCF" w:rsidRPr="00850CC8" w:rsidRDefault="00B12FCF"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 xml:space="preserve">What is being argued is rather what Aristotle called </w:t>
      </w:r>
      <w:r>
        <w:rPr>
          <w:rFonts w:ascii="Times New Roman" w:hAnsi="Times New Roman" w:cs="Times New Roman"/>
          <w:i/>
          <w:iCs/>
          <w:sz w:val="22"/>
          <w:szCs w:val="22"/>
        </w:rPr>
        <w:t>phronēsis</w:t>
      </w:r>
      <w:r>
        <w:rPr>
          <w:rFonts w:ascii="Times New Roman" w:hAnsi="Times New Roman" w:cs="Times New Roman"/>
          <w:sz w:val="22"/>
          <w:szCs w:val="22"/>
        </w:rPr>
        <w:t>: practical wisdom, the capacity to discern what a particular situation actually requires in order for love, justice, and real human flourishing to be served.</w:t>
      </w:r>
      <w:r>
        <w:rPr>
          <w:rFonts w:ascii="Times New Roman" w:hAnsi="Times New Roman" w:cs="Times New Roman"/>
          <w:sz w:val="22"/>
          <w:szCs w:val="22"/>
          <w:vertAlign w:val="superscript"/>
        </w:rPr>
        <w:t>4</w:t>
      </w:r>
      <w:r>
        <w:rPr>
          <w:rFonts w:ascii="Times New Roman" w:hAnsi="Times New Roman" w:cs="Times New Roman"/>
          <w:sz w:val="22"/>
          <w:szCs w:val="22"/>
        </w:rPr>
        <w:t xml:space="preserve"> Practical wisdom in the Aristotelian sense is not the ability to identify the correct algorithm and apply it. It is the cultivated capacity to perceive the morally relevant features of a situation, the relationships at stake, the histories involved, the particular vulnerabilities and needs of the persons present, and to respond to those features in a way that reflects real moral formation rather than mere rule-following or calculation.</w:t>
      </w:r>
    </w:p>
    <w:p w14:paraId="5EBD58AF" w14:textId="77777777" w:rsidR="00B12FCF" w:rsidRPr="00850CC8" w:rsidRDefault="00B12FCF" w:rsidP="00850CC8">
      <w:pPr>
        <w:spacing w:line="276" w:lineRule="auto"/>
        <w:rPr>
          <w:rFonts w:ascii="Times New Roman" w:hAnsi="Times New Roman" w:cs="Times New Roman"/>
          <w:sz w:val="22"/>
          <w:szCs w:val="22"/>
        </w:rPr>
      </w:pPr>
    </w:p>
    <w:p w14:paraId="21000DE3" w14:textId="77777777" w:rsidR="00B12FCF" w:rsidRPr="00850CC8" w:rsidRDefault="00B12FCF"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The situational character of ethics in this sense follows directly from its relational character. If obligations differ in kind according to the nature of the relation from which they arise, then no single principle can generate the right response to every situation, because different situations involve different relations, and different relations generate different obligations. The parent of a young child and the judge in a courtroom face actually different obligations toward the persons before them, not because they inhabit different moral universes but because the relations that structure their situations are actually different. The wise parent does not adjudicate their child’s conflicts from behind a veil of impartiality. The wise judge does not treat the defendant before them as they would treat their own child. Each is responding appropriately to the relational reality of their situation.</w:t>
      </w:r>
    </w:p>
    <w:p w14:paraId="1A218EEA" w14:textId="77777777" w:rsidR="00B12FCF" w:rsidRPr="00850CC8" w:rsidRDefault="00B12FCF" w:rsidP="00850CC8">
      <w:pPr>
        <w:spacing w:line="276" w:lineRule="auto"/>
        <w:rPr>
          <w:rFonts w:ascii="Times New Roman" w:hAnsi="Times New Roman" w:cs="Times New Roman"/>
          <w:sz w:val="22"/>
          <w:szCs w:val="22"/>
        </w:rPr>
      </w:pPr>
    </w:p>
    <w:p w14:paraId="14746B7F" w14:textId="77777777" w:rsidR="00B12FCF" w:rsidRPr="00850CC8" w:rsidRDefault="00B12FCF"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Bernard Williams pressed the related point that ethical thinking requires what he called “thick” ethical concepts, terms like “cruel,” “cowardly,” “generous,” “loyal,” that combine descriptive and evaluative content in ways that cannot be separated without losing the concept itself.</w:t>
      </w:r>
      <w:r>
        <w:rPr>
          <w:rFonts w:ascii="Times New Roman" w:hAnsi="Times New Roman" w:cs="Times New Roman"/>
          <w:sz w:val="22"/>
          <w:szCs w:val="22"/>
          <w:vertAlign w:val="superscript"/>
        </w:rPr>
        <w:t>5</w:t>
      </w:r>
      <w:r>
        <w:rPr>
          <w:rFonts w:ascii="Times New Roman" w:hAnsi="Times New Roman" w:cs="Times New Roman"/>
          <w:sz w:val="22"/>
          <w:szCs w:val="22"/>
        </w:rPr>
        <w:t xml:space="preserve"> Thin ethical concepts, like “right” and “wrong,” are too abstract to guide action in specific situations without the mediation of thick concepts that are already attuned to the particular features of the situation being evaluated. The language of virtue, which is the language of thick ethical concepts systematized, is not a supplement to a more fundamental ethics of rules or consequences. It is the primary vocabulary in which the moral life is actually lived.</w:t>
      </w:r>
    </w:p>
    <w:p w14:paraId="514C9B5C" w14:textId="77777777" w:rsidR="00B12FCF" w:rsidRPr="00850CC8" w:rsidRDefault="00B12FCF" w:rsidP="00850CC8">
      <w:pPr>
        <w:spacing w:line="276" w:lineRule="auto"/>
        <w:rPr>
          <w:rFonts w:ascii="Times New Roman" w:hAnsi="Times New Roman" w:cs="Times New Roman"/>
          <w:sz w:val="22"/>
          <w:szCs w:val="22"/>
        </w:rPr>
      </w:pPr>
    </w:p>
    <w:p w14:paraId="02F1096B" w14:textId="77777777" w:rsidR="00B12FCF" w:rsidRPr="00850CC8" w:rsidRDefault="00B12FCF"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The situational character of ethics is not a concession to moral relativism. The claim is not that what is right varies arbitrarily from situation to situation, or that there are no stable moral truths that apply across situations. The claim is that the application of those stable moral truths requires a quality of perception and judgment that goes beyond the mechanical application of principles. Love is always required. What love requires in this situation, with these people, in this history, is a question that no algorithm can answer. It requires the kind of attention that Murdoch describes, the kind of practical wisdom that Aristotle develops, and the kind of moral formation that the Christian tradition locates in the work of the Spirit conforming the image-bearer to the image of Christ.</w:t>
      </w:r>
    </w:p>
    <w:p w14:paraId="7402FE0C" w14:textId="77777777" w:rsidR="00B12FCF" w:rsidRPr="00850CC8" w:rsidRDefault="00B12FCF" w:rsidP="00850CC8">
      <w:pPr>
        <w:spacing w:line="276" w:lineRule="auto"/>
        <w:rPr>
          <w:rFonts w:ascii="Times New Roman" w:hAnsi="Times New Roman" w:cs="Times New Roman"/>
          <w:sz w:val="22"/>
          <w:szCs w:val="22"/>
        </w:rPr>
      </w:pPr>
    </w:p>
    <w:p w14:paraId="31D90AB3" w14:textId="77777777" w:rsidR="00B12FCF" w:rsidRPr="00850CC8" w:rsidRDefault="00B12FCF" w:rsidP="00850CC8">
      <w:pPr>
        <w:spacing w:before="480" w:after="240" w:line="276" w:lineRule="auto"/>
        <w:rPr>
          <w:rFonts w:ascii="Times New Roman" w:hAnsi="Times New Roman" w:cs="Times New Roman"/>
          <w:sz w:val="22"/>
          <w:szCs w:val="22"/>
        </w:rPr>
      </w:pPr>
      <w:r>
        <w:rPr>
          <w:rFonts w:ascii="Times New Roman" w:hAnsi="Times New Roman" w:cs="Times New Roman"/>
          <w:b/>
          <w:bCs/>
          <w:sz w:val="22"/>
          <w:szCs w:val="22"/>
        </w:rPr>
        <w:t>Ethics Is Personal</w:t>
      </w:r>
    </w:p>
    <w:p w14:paraId="6E7C34A4" w14:textId="77777777" w:rsidR="00B12FCF" w:rsidRPr="00850CC8" w:rsidRDefault="00B12FCF" w:rsidP="00850CC8">
      <w:pPr>
        <w:spacing w:line="276" w:lineRule="auto"/>
        <w:jc w:val="both"/>
        <w:rPr>
          <w:rFonts w:ascii="Times New Roman" w:hAnsi="Times New Roman" w:cs="Times New Roman"/>
          <w:sz w:val="22"/>
          <w:szCs w:val="22"/>
        </w:rPr>
      </w:pPr>
      <w:r>
        <w:rPr>
          <w:rFonts w:ascii="Times New Roman" w:hAnsi="Times New Roman" w:cs="Times New Roman"/>
          <w:sz w:val="22"/>
          <w:szCs w:val="22"/>
        </w:rPr>
        <w:t xml:space="preserve">The fourth quality is in some respects the most fundamental, and it is the one that the dominant traditions of modern moral philosophy have been most resistant to acknowledging. Ethics is personal: it is concerned </w:t>
        <w:lastRenderedPageBreak/>
        <w:t>with persons in their particularity, not with the abstract rational agents or utility-maximizing selves that ethical theories tend to posit as the basic units of moral analysis.</w:t>
      </w:r>
    </w:p>
    <w:p w14:paraId="2DFC5996" w14:textId="77777777" w:rsidR="00B12FCF" w:rsidRPr="00850CC8" w:rsidRDefault="00B12FCF" w:rsidP="00850CC8">
      <w:pPr>
        <w:spacing w:line="276" w:lineRule="auto"/>
        <w:rPr>
          <w:rFonts w:ascii="Times New Roman" w:hAnsi="Times New Roman" w:cs="Times New Roman"/>
          <w:sz w:val="22"/>
          <w:szCs w:val="22"/>
        </w:rPr>
      </w:pPr>
    </w:p>
    <w:p w14:paraId="45059972" w14:textId="77777777" w:rsidR="00B12FCF" w:rsidRPr="00850CC8" w:rsidRDefault="00B12FCF"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What this means, in the first instance, is that the person who acts morally is not interchangeable with any other agent who performs the same action. The history a person brings to a moral situation, the relationships within which they are embedded, the character they have formed over time, these are not morally irrelevant background conditions. They are constitutive of who the person is and therefore of what their action means and what it costs. The generous act of a person of moderate means is not the same act as the identical behavior performed by a person of great wealth, even if the external description of both actions is identical. The loyalty of a friend under pressure is not the same as the compliance of a stranger. Persons are not interchangeable, and an ethics that treats them as interchangeable has already lost something essential about the moral life.</w:t>
      </w:r>
    </w:p>
    <w:p w14:paraId="02DC8EF9" w14:textId="77777777" w:rsidR="00B12FCF" w:rsidRPr="00850CC8" w:rsidRDefault="00B12FCF" w:rsidP="00850CC8">
      <w:pPr>
        <w:spacing w:line="276" w:lineRule="auto"/>
        <w:rPr>
          <w:rFonts w:ascii="Times New Roman" w:hAnsi="Times New Roman" w:cs="Times New Roman"/>
          <w:sz w:val="22"/>
          <w:szCs w:val="22"/>
        </w:rPr>
      </w:pPr>
    </w:p>
    <w:p w14:paraId="626590CA" w14:textId="77777777" w:rsidR="00B12FCF" w:rsidRPr="00850CC8" w:rsidRDefault="00B12FCF"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Murdoch’s account of moral life as a matter of vision and attention rather than decision and action is relevant here too.</w:t>
      </w:r>
      <w:r>
        <w:rPr>
          <w:rFonts w:ascii="Times New Roman" w:hAnsi="Times New Roman" w:cs="Times New Roman"/>
          <w:sz w:val="22"/>
          <w:szCs w:val="22"/>
          <w:vertAlign w:val="superscript"/>
        </w:rPr>
        <w:t>6</w:t>
      </w:r>
      <w:r>
        <w:rPr>
          <w:rFonts w:ascii="Times New Roman" w:hAnsi="Times New Roman" w:cs="Times New Roman"/>
          <w:sz w:val="22"/>
          <w:szCs w:val="22"/>
        </w:rPr>
        <w:t xml:space="preserve"> Her argument is that what we do follows from what we see, and what we see is shaped by who we have become through the long history of our moral attention and inattention, our habits of generosity and self-concern, our capacity or incapacity for clear perception of others.The moral life is not a series of discrete decisions made by an agent who is essentially the same before and after each decision. It is the ongoing formation of a person, the shaping of a character, a set of perceptions, a quality of attention, that then expresses itself in action.</w:t>
      </w:r>
    </w:p>
    <w:p w14:paraId="6D708746" w14:textId="77777777" w:rsidR="00B12FCF" w:rsidRPr="00850CC8" w:rsidRDefault="00B12FCF" w:rsidP="00850CC8">
      <w:pPr>
        <w:spacing w:line="276" w:lineRule="auto"/>
        <w:rPr>
          <w:rFonts w:ascii="Times New Roman" w:hAnsi="Times New Roman" w:cs="Times New Roman"/>
          <w:sz w:val="22"/>
          <w:szCs w:val="22"/>
        </w:rPr>
      </w:pPr>
    </w:p>
    <w:p w14:paraId="11027CDF" w14:textId="77777777" w:rsidR="00B12FCF" w:rsidRPr="00850CC8" w:rsidRDefault="00B12FCF"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The personal character of ethics also means that the persons toward whom moral attention is directed are not interchangeable instances of a type. The neighbor I am commanded to love as myself is not “a human being in my vicinity” in the abstract. They are this person, with this history, in this need, standing in this particular relation to me. The command to love is not a command to distribute a standardized benefit to any person who meets a certain description. It is a command to attend to the particular reality of the person before me and to respond to what that particular reality actually requires.</w:t>
      </w:r>
    </w:p>
    <w:p w14:paraId="277D34FB" w14:textId="77777777" w:rsidR="00B12FCF" w:rsidRPr="00850CC8" w:rsidRDefault="00B12FCF" w:rsidP="00850CC8">
      <w:pPr>
        <w:spacing w:line="276" w:lineRule="auto"/>
        <w:rPr>
          <w:rFonts w:ascii="Times New Roman" w:hAnsi="Times New Roman" w:cs="Times New Roman"/>
          <w:sz w:val="22"/>
          <w:szCs w:val="22"/>
        </w:rPr>
      </w:pPr>
    </w:p>
    <w:p w14:paraId="09663CFB" w14:textId="77777777" w:rsidR="00B12FCF" w:rsidRPr="00850CC8" w:rsidRDefault="00B12FCF"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Alasdair MacIntyre’s account of the narrative self is illuminating here. His argument is that the self is constituted by the stories within which it is embedded, the histories of particular communities, traditions, and relationships that give the self its identity and provide the context within which its actions have meaning.</w:t>
      </w:r>
      <w:r>
        <w:rPr>
          <w:rFonts w:ascii="Times New Roman" w:hAnsi="Times New Roman" w:cs="Times New Roman"/>
          <w:sz w:val="22"/>
          <w:szCs w:val="22"/>
          <w:vertAlign w:val="superscript"/>
        </w:rPr>
        <w:t>7</w:t>
      </w:r>
      <w:r>
        <w:rPr>
          <w:rFonts w:ascii="Times New Roman" w:hAnsi="Times New Roman" w:cs="Times New Roman"/>
          <w:sz w:val="22"/>
          <w:szCs w:val="22"/>
        </w:rPr>
        <w:t xml:space="preserve"> To be a self is not to be a free-floating rational agent who could in principle have been formed in any community and still be the same self. It is to be this particular person, formed by these particular relations, capable of acting within the narrative that has shaped one’s identity and accountable to the communities within which that identity was formed. Moral reasoning, on this account, is not the application of abstract principles by an agent who transcends their particular history. It is the discernment of what those particular commitments, relationships, and histories actually require in the situation at hand.</w:t>
      </w:r>
    </w:p>
    <w:p w14:paraId="323E1AB6" w14:textId="77777777" w:rsidR="00B12FCF" w:rsidRPr="00850CC8" w:rsidRDefault="00B12FCF" w:rsidP="00850CC8">
      <w:pPr>
        <w:spacing w:line="276" w:lineRule="auto"/>
        <w:rPr>
          <w:rFonts w:ascii="Times New Roman" w:hAnsi="Times New Roman" w:cs="Times New Roman"/>
          <w:sz w:val="22"/>
          <w:szCs w:val="22"/>
        </w:rPr>
      </w:pPr>
    </w:p>
    <w:p w14:paraId="1393946F" w14:textId="77777777" w:rsidR="00B12FCF" w:rsidRPr="00850CC8" w:rsidRDefault="00B12FCF"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 xml:space="preserve">The personalist tradition in philosophy has pressed the same claim from a phenomenological direction. Karol Wojtyła’s personalist norm holds that the person is the kind of being for whom only love is the adequate response, not because love is strategically useful or emotionally rewarding, but because the irreducible dignity of the person demands a response that meets her in her particularity rather than reducing her to a case, a type, or an instrument. Martin Buber’s I-Thou distinction captures the same territory with different conceptual tools. The I-It stance is precisely the abstracting stance, the one that treats the person </w:t>
        <w:lastRenderedPageBreak/>
        <w:t>before me as an instance of a category rather than as this irreducible, irreplaceable other. The I-Thou encounter refuses that reduction. It meets the other in her singularity, and it is in that meeting, not in the application of a principle to a case, that the real moral relationship becomes possible.</w:t>
      </w:r>
      <w:r>
        <w:rPr>
          <w:rFonts w:ascii="Times New Roman" w:hAnsi="Times New Roman" w:cs="Times New Roman"/>
          <w:sz w:val="22"/>
          <w:szCs w:val="22"/>
          <w:vertAlign w:val="superscript"/>
        </w:rPr>
        <w:t>8</w:t>
      </w:r>
      <w:r>
        <w:rPr>
          <w:rFonts w:ascii="Times New Roman" w:hAnsi="Times New Roman" w:cs="Times New Roman"/>
          <w:sz w:val="22"/>
          <w:szCs w:val="22"/>
        </w:rPr>
        <w:t xml:space="preserve"> The personalist tradition did not arrive at these conclusions from the theology of the Trinity. But the convergence is not accidental. Both lines of inquiry are tracking the same feature of moral reality: a feature that is real because persons are real, and persons are real because the God in whose image they are made is irreducibly personal.</w:t>
      </w:r>
    </w:p>
    <w:p w14:paraId="1FB21169" w14:textId="77777777" w:rsidR="00B12FCF" w:rsidRPr="00850CC8" w:rsidRDefault="00B12FCF" w:rsidP="00850CC8">
      <w:pPr>
        <w:spacing w:line="276" w:lineRule="auto"/>
        <w:rPr>
          <w:rFonts w:ascii="Times New Roman" w:hAnsi="Times New Roman" w:cs="Times New Roman"/>
          <w:sz w:val="22"/>
          <w:szCs w:val="22"/>
        </w:rPr>
      </w:pPr>
    </w:p>
    <w:p w14:paraId="0D52ADA2" w14:textId="77777777" w:rsidR="00B12FCF" w:rsidRPr="00850CC8" w:rsidRDefault="00B12FCF"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The theological grounding for the personal character of ethics is the character of God himself. The God of the biblical narrative does not deal with humanity in the aggregate. He calls particular people by name, enters into particular covenants with particular communities, responds to the particular history of each relationship. The ethical life that image-bearing creatures are commissioned to live is a participation in this pattern of particular, attentive, responsive love, not the efficient distribution of standardized benefits to abstract individuals but the kind of concrete, historically situated care that characterizes the God in whose image the caring creature is made.</w:t>
      </w:r>
    </w:p>
    <w:p w14:paraId="37DBD414" w14:textId="77777777" w:rsidR="00B12FCF" w:rsidRPr="00850CC8" w:rsidRDefault="00B12FCF" w:rsidP="00850CC8">
      <w:pPr>
        <w:spacing w:line="276" w:lineRule="auto"/>
        <w:rPr>
          <w:rFonts w:ascii="Times New Roman" w:hAnsi="Times New Roman" w:cs="Times New Roman"/>
          <w:sz w:val="22"/>
          <w:szCs w:val="22"/>
        </w:rPr>
      </w:pPr>
    </w:p>
    <w:p w14:paraId="0763CDE6" w14:textId="77777777" w:rsidR="00B12FCF" w:rsidRPr="00850CC8" w:rsidRDefault="00B12FCF" w:rsidP="00850CC8">
      <w:pPr>
        <w:spacing w:before="480" w:after="240" w:line="276" w:lineRule="auto"/>
        <w:rPr>
          <w:rFonts w:ascii="Times New Roman" w:hAnsi="Times New Roman" w:cs="Times New Roman"/>
          <w:sz w:val="22"/>
          <w:szCs w:val="22"/>
        </w:rPr>
      </w:pPr>
      <w:r>
        <w:rPr>
          <w:rFonts w:ascii="Times New Roman" w:hAnsi="Times New Roman" w:cs="Times New Roman"/>
          <w:b/>
          <w:bCs/>
          <w:sz w:val="22"/>
          <w:szCs w:val="22"/>
        </w:rPr>
        <w:t>Four Dimensions of One Reality</w:t>
      </w:r>
    </w:p>
    <w:p w14:paraId="1ADEA0BC" w14:textId="77777777" w:rsidR="00B12FCF" w:rsidRPr="00850CC8" w:rsidRDefault="00B12FCF" w:rsidP="00850CC8">
      <w:pPr>
        <w:spacing w:line="276" w:lineRule="auto"/>
        <w:jc w:val="both"/>
        <w:rPr>
          <w:rFonts w:ascii="Times New Roman" w:hAnsi="Times New Roman" w:cs="Times New Roman"/>
          <w:sz w:val="22"/>
          <w:szCs w:val="22"/>
        </w:rPr>
      </w:pPr>
      <w:r>
        <w:rPr>
          <w:rFonts w:ascii="Times New Roman" w:hAnsi="Times New Roman" w:cs="Times New Roman"/>
          <w:sz w:val="22"/>
          <w:szCs w:val="22"/>
        </w:rPr>
        <w:t>The preceding four sections have described these qualities in sequence, but it is important not to let that sequential presentation suggest that they are four independent claims that could in principle be accepted or rejected separately. They are, as the introduction to this chapter proposed, four dimensions of a single reality. Each one, pressed to its depth, opens into the others.</w:t>
      </w:r>
    </w:p>
    <w:p w14:paraId="69C91E44" w14:textId="77777777" w:rsidR="00B12FCF" w:rsidRPr="00850CC8" w:rsidRDefault="00B12FCF" w:rsidP="00850CC8">
      <w:pPr>
        <w:spacing w:line="276" w:lineRule="auto"/>
        <w:rPr>
          <w:rFonts w:ascii="Times New Roman" w:hAnsi="Times New Roman" w:cs="Times New Roman"/>
          <w:sz w:val="22"/>
          <w:szCs w:val="22"/>
        </w:rPr>
      </w:pPr>
    </w:p>
    <w:p w14:paraId="639B0BF7" w14:textId="77777777" w:rsidR="00B12FCF" w:rsidRPr="00850CC8" w:rsidRDefault="00B12FCF"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Consider what happens when you follow any one of them far enough. Ethics is relational: obligations arise from and are shaped by particular relations. But to say this with precision requires saying that the obligations arising from particular relations cannot be determined by applying a universal principle to the relational context. They require discernment of what this relation, in this situation, actually requires, which is the situational quality. And that discernment cannot be exercised by an abstract agent; it requires the cultivated capacity of a person formed in the habits of attention and care that constitute real moral character, which is the personal quality. And it requires the reflexive awareness that the agent is not merely an impersonal perceiver of others’ needs but a person who has themselves received care, love, and just treatment, and whose experience of that reception provides the normative measure for what the other deserves, which is the reflective quality.</w:t>
      </w:r>
    </w:p>
    <w:p w14:paraId="4E26E6D6" w14:textId="77777777" w:rsidR="00B12FCF" w:rsidRPr="00850CC8" w:rsidRDefault="00B12FCF" w:rsidP="00850CC8">
      <w:pPr>
        <w:spacing w:line="276" w:lineRule="auto"/>
        <w:rPr>
          <w:rFonts w:ascii="Times New Roman" w:hAnsi="Times New Roman" w:cs="Times New Roman"/>
          <w:sz w:val="22"/>
          <w:szCs w:val="22"/>
        </w:rPr>
      </w:pPr>
    </w:p>
    <w:p w14:paraId="45726CFE" w14:textId="77777777" w:rsidR="00B12FCF" w:rsidRPr="00850CC8" w:rsidRDefault="00B12FCF"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The same entailment runs in every direction. Press the reflective quality and you find that the self whose experience provides the normative measure is not an abstract self but a particular self formed by particular relations, which is the relational quality. Press the situational quality and you find that the discernment it requires cannot be exercised by a person indifferent to the particular persons in the situation, which is the personal quality. Press the personal quality and you find that persons are constituted by their relations, and that to attend to a person with real moral seriousness is to attend to the relational web that makes them who they are, which is the relational quality again.</w:t>
      </w:r>
    </w:p>
    <w:p w14:paraId="51CC3087" w14:textId="77777777" w:rsidR="00B12FCF" w:rsidRPr="00850CC8" w:rsidRDefault="00B12FCF" w:rsidP="00850CC8">
      <w:pPr>
        <w:spacing w:line="276" w:lineRule="auto"/>
        <w:rPr>
          <w:rFonts w:ascii="Times New Roman" w:hAnsi="Times New Roman" w:cs="Times New Roman"/>
          <w:sz w:val="22"/>
          <w:szCs w:val="22"/>
        </w:rPr>
      </w:pPr>
    </w:p>
    <w:p w14:paraId="216E863C" w14:textId="77777777" w:rsidR="00B12FCF" w:rsidRPr="00850CC8" w:rsidRDefault="00B12FCF"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 xml:space="preserve">This mutual entailment is not a sign of confusion in the analysis. It is a sign that the analysis is tracking something real: a single feature of the moral life that can be approached from four different angles </w:t>
        <w:lastRenderedPageBreak/>
        <w:t>without being four different things. That single feature is the relational constitution of persons made in the image of a relational God, called to live in the world in a way that reflects the character of the one whose image they bear.</w:t>
      </w:r>
    </w:p>
    <w:p w14:paraId="28206173" w14:textId="77777777" w:rsidR="00B12FCF" w:rsidRPr="00850CC8" w:rsidRDefault="00B12FCF" w:rsidP="00850CC8">
      <w:pPr>
        <w:spacing w:line="276" w:lineRule="auto"/>
        <w:rPr>
          <w:rFonts w:ascii="Times New Roman" w:hAnsi="Times New Roman" w:cs="Times New Roman"/>
          <w:sz w:val="22"/>
          <w:szCs w:val="22"/>
        </w:rPr>
      </w:pPr>
    </w:p>
    <w:p w14:paraId="7D472E59" w14:textId="77777777" w:rsidR="00B12FCF" w:rsidRPr="00850CC8" w:rsidRDefault="00B12FCF"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The moral life that results from this constitution is not algorithmically simple. It does not reduce to a single principle that can be applied mechanically to every situation. It requires the kind of wisdom that knows which relation it is inhabiting, the kind of attention that sees the particular person before it, the kind of reflexive awareness that draws on its own experience of receiving love to understand what love requires in this case, and the kind of practical judgment that can discern what this situation, with these persons, in this history, actually calls for. These are not separate skills to be learned separately. They are one skill, the skill of the image-bearing creature living out the vocation for which it was made, which can be described from four angles without being four things.</w:t>
      </w:r>
    </w:p>
    <w:p w14:paraId="2ECA07AA" w14:textId="77777777" w:rsidR="00B12FCF" w:rsidRPr="00850CC8" w:rsidRDefault="00B12FCF" w:rsidP="00850CC8">
      <w:pPr>
        <w:spacing w:line="276" w:lineRule="auto"/>
        <w:rPr>
          <w:rFonts w:ascii="Times New Roman" w:hAnsi="Times New Roman" w:cs="Times New Roman"/>
          <w:sz w:val="22"/>
          <w:szCs w:val="22"/>
        </w:rPr>
      </w:pPr>
    </w:p>
    <w:p w14:paraId="1794DE00" w14:textId="77777777" w:rsidR="00B12FCF" w:rsidRPr="00850CC8" w:rsidRDefault="00B12FCF"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These four qualities are not merely theoretical categories. They show up, in concentrated form, wherever persons trained in the grammar of love are required to bring it to bear on actual conditions of rupture and harm. The proceedings of the South African Truth and Reconciliation Commission, which Archbishop Desmond Tutu chaired from 1996 through 1998, offer a striking modern illustration of all four operating simultaneously in a single institutional setting.</w:t>
      </w:r>
      <w:r>
        <w:rPr>
          <w:rFonts w:ascii="Times New Roman" w:hAnsi="Times New Roman" w:cs="Times New Roman"/>
          <w:sz w:val="22"/>
          <w:szCs w:val="22"/>
          <w:vertAlign w:val="superscript"/>
        </w:rPr>
        <w:t>9</w:t>
      </w:r>
    </w:p>
    <w:p w14:paraId="4515664A" w14:textId="77777777" w:rsidR="00B12FCF" w:rsidRPr="00850CC8" w:rsidRDefault="00B12FCF" w:rsidP="00850CC8">
      <w:pPr>
        <w:spacing w:line="276" w:lineRule="auto"/>
        <w:rPr>
          <w:rFonts w:ascii="Times New Roman" w:hAnsi="Times New Roman" w:cs="Times New Roman"/>
          <w:sz w:val="22"/>
          <w:szCs w:val="22"/>
        </w:rPr>
      </w:pPr>
    </w:p>
    <w:p w14:paraId="6101F8E0" w14:textId="77777777" w:rsidR="00B12FCF" w:rsidRPr="00850CC8" w:rsidRDefault="00B12FCF"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The TRC was designed around the conviction that apartheid’s damage was irreducibly relational: it had been done to particular persons by particular persons and communities, and its repair required those persons to encounter one another. The proceedings were relational in the precise sense this chapter has been developing, not an abstract exchange of legal arguments between institutional parties, but an attempt to bring perpetrators and survivors into actual encounter within a structured process. They were reflective in the sense the Golden Rule encodes: perpetrators were required to hear, in detail, what had been done to particular people, and to register that suffering against their own experience of what it would cost to receive such treatment. Tutu named this as the mechanism by which the process was designed to work, not legally required acknowledgment but morally required recognition, the extension of the “as yourself” to those one had treated as less than persons. The proceedings were situational because the commission understood that justice in post-apartheid South Africa could not simply apply the standard criminal justice template without regard to the specific political history, the fragility of the democratic transition, and the particular needs of a society attempting to reconstitute itself across a chasm of institutionalized violence. What wisdom required in this situation was not what wisdom would have required in a stable society with intact legal institutions. And the proceedings were personal in the sense Chapter Four has been developing throughout: the explicit goal was not the efficient processing of cases but the meeting of persons. Tutu gave the process a name drawn from Zulu and Xhosa tradition, ubuntu, the recognition that a person is a person through other persons. He insisted that this was not a sentiment but a description of the ontological condition in which both victims and perpetrators already stood.</w:t>
      </w:r>
    </w:p>
    <w:p w14:paraId="23B59AF8" w14:textId="77777777" w:rsidR="00B12FCF" w:rsidRPr="00850CC8" w:rsidRDefault="00B12FCF" w:rsidP="00850CC8">
      <w:pPr>
        <w:spacing w:line="276" w:lineRule="auto"/>
        <w:rPr>
          <w:rFonts w:ascii="Times New Roman" w:hAnsi="Times New Roman" w:cs="Times New Roman"/>
          <w:sz w:val="22"/>
          <w:szCs w:val="22"/>
        </w:rPr>
      </w:pPr>
    </w:p>
    <w:p w14:paraId="0906DDA9" w14:textId="77777777" w:rsidR="00B12FCF" w:rsidRPr="00850CC8" w:rsidRDefault="00B12FCF"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 xml:space="preserve">What the TRC illustrates, and what abstract ethical analysis alone cannot supply, is the texture of the four qualities working together. There was no algorithm that could tell commissioners in advance when an amnesty application had produced sufficient truth-telling to warrant the amnesty it requested, or when a victim’s need for acknowledgment had been adequately met. Those determinations required the kind of attentive, situationally wise, relationally grounded, and personally present judgment that the four qualities </w:t>
        <w:lastRenderedPageBreak/>
        <w:t>describe. The commission did not always get those determinations right, and Tutu acknowledged as much. But its very structure was an institutional embodiment of the claim that ethics is, at its most serious, a matter of persons meeting persons within a particular relational and historical context, with all the wisdom, attention, and care that real encounter requires. Chapter Twelve returns to the TRC in the context of justice, where the question of how its retributive and restorative dimensions relate becomes more directly the subject of the argument.</w:t>
      </w:r>
    </w:p>
    <w:p w14:paraId="67724D65" w14:textId="77777777" w:rsidR="00B12FCF" w:rsidRPr="00850CC8" w:rsidRDefault="00B12FCF" w:rsidP="00850CC8">
      <w:pPr>
        <w:spacing w:line="276" w:lineRule="auto"/>
        <w:rPr>
          <w:rFonts w:ascii="Times New Roman" w:hAnsi="Times New Roman" w:cs="Times New Roman"/>
          <w:sz w:val="22"/>
          <w:szCs w:val="22"/>
        </w:rPr>
      </w:pPr>
    </w:p>
    <w:p w14:paraId="271013F4" w14:textId="77777777" w:rsidR="00B12FCF" w:rsidRPr="00850CC8" w:rsidRDefault="00B12FCF" w:rsidP="00850CC8">
      <w:pPr>
        <w:spacing w:before="480" w:after="240" w:line="276" w:lineRule="auto"/>
        <w:rPr>
          <w:rFonts w:ascii="Times New Roman" w:hAnsi="Times New Roman" w:cs="Times New Roman"/>
          <w:sz w:val="22"/>
          <w:szCs w:val="22"/>
        </w:rPr>
      </w:pPr>
      <w:r>
        <w:rPr>
          <w:rFonts w:ascii="Times New Roman" w:hAnsi="Times New Roman" w:cs="Times New Roman"/>
          <w:b/>
          <w:bCs/>
          <w:sz w:val="22"/>
          <w:szCs w:val="22"/>
        </w:rPr>
        <w:t>Looking Ahead</w:t>
      </w:r>
    </w:p>
    <w:p w14:paraId="2EDA3F93" w14:textId="77777777" w:rsidR="00B12FCF" w:rsidRPr="00850CC8" w:rsidRDefault="00B12FCF" w:rsidP="00850CC8">
      <w:pPr>
        <w:spacing w:line="276" w:lineRule="auto"/>
        <w:jc w:val="both"/>
        <w:rPr>
          <w:rFonts w:ascii="Times New Roman" w:hAnsi="Times New Roman" w:cs="Times New Roman"/>
          <w:sz w:val="22"/>
          <w:szCs w:val="22"/>
        </w:rPr>
      </w:pPr>
      <w:r>
        <w:rPr>
          <w:rFonts w:ascii="Times New Roman" w:hAnsi="Times New Roman" w:cs="Times New Roman"/>
          <w:sz w:val="22"/>
          <w:szCs w:val="22"/>
        </w:rPr>
        <w:t>The four qualities described in this chapter are, in a sense, a map. They identify the terrain that the moral life inhabits and the kinds of navigation that terrain requires. What they do not yet provide is the specific language in which the moral life’s requirements are most compactly expressed.</w:t>
      </w:r>
    </w:p>
    <w:p w14:paraId="05C5AC45" w14:textId="77777777" w:rsidR="00B12FCF" w:rsidRPr="00850CC8" w:rsidRDefault="00B12FCF" w:rsidP="00850CC8">
      <w:pPr>
        <w:spacing w:line="276" w:lineRule="auto"/>
        <w:rPr>
          <w:rFonts w:ascii="Times New Roman" w:hAnsi="Times New Roman" w:cs="Times New Roman"/>
          <w:sz w:val="22"/>
          <w:szCs w:val="22"/>
        </w:rPr>
      </w:pPr>
    </w:p>
    <w:p w14:paraId="0B6E7995" w14:textId="77777777" w:rsidR="00B12FCF" w:rsidRPr="00850CC8" w:rsidRDefault="00B12FCF"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Chapter Five turns to that language. The two great commandments, to love God with the whole self and to love the neighbor as oneself, and the Golden Rule that Jesus identifies as their summation, are not simply practical guides for conduct. They are, when examined with care, a remarkably precise encoding of the relational, reflective, situational, and personal structure of the moral life that this chapter has been describing. More than that, they are, as Chapter Two began to suggest, a description of the inner life of the Trinity before they are a prescription for human conduct. To understand why Jesus could say that on these two commandments hang all the law and the prophets is to understand something deep about the structure of moral reality itself.</w:t>
      </w:r>
    </w:p>
    <w:p w14:paraId="283B0A8B" w14:textId="77777777" w:rsidR="00B12FCF" w:rsidRPr="00850CC8" w:rsidRDefault="00B12FCF" w:rsidP="00850CC8">
      <w:pPr>
        <w:spacing w:line="276" w:lineRule="auto"/>
        <w:rPr>
          <w:rFonts w:ascii="Times New Roman" w:hAnsi="Times New Roman" w:cs="Times New Roman"/>
          <w:sz w:val="22"/>
          <w:szCs w:val="22"/>
        </w:rPr>
      </w:pPr>
    </w:p>
    <w:p w14:paraId="7C103FEC" w14:textId="77777777" w:rsidR="00B12FCF" w:rsidRPr="00850CC8" w:rsidRDefault="00B12FCF"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That understanding is what the next chapter is for.</w:t>
      </w:r>
    </w:p>
    <w:p w14:paraId="1671413D" w14:textId="77777777" w:rsidR="00B12FCF" w:rsidRPr="00850CC8" w:rsidRDefault="00B12FCF" w:rsidP="00850CC8">
      <w:pPr>
        <w:spacing w:line="276" w:lineRule="auto"/>
        <w:rPr>
          <w:rFonts w:ascii="Times New Roman" w:hAnsi="Times New Roman" w:cs="Times New Roman"/>
          <w:sz w:val="22"/>
          <w:szCs w:val="22"/>
        </w:rPr>
      </w:pPr>
    </w:p>
    <w:p w14:paraId="11E0886C" w14:textId="77777777" w:rsidR="00B12FCF" w:rsidRPr="00850CC8" w:rsidRDefault="00B12FCF" w:rsidP="00850CC8">
      <w:pPr>
        <w:spacing w:line="276" w:lineRule="auto"/>
        <w:rPr>
          <w:rFonts w:ascii="Times New Roman" w:hAnsi="Times New Roman" w:cs="Times New Roman"/>
          <w:sz w:val="22"/>
          <w:szCs w:val="22"/>
        </w:rPr>
      </w:pPr>
    </w:p>
    <w:p w14:paraId="6DDE40BE" w14:textId="77777777" w:rsidR="00B12FCF" w:rsidRPr="00850CC8" w:rsidRDefault="00B12FCF" w:rsidP="00850CC8">
      <w:pPr>
        <w:spacing w:before="480" w:after="240" w:line="276" w:lineRule="auto"/>
        <w:rPr>
          <w:rFonts w:ascii="Times New Roman" w:hAnsi="Times New Roman" w:cs="Times New Roman"/>
          <w:sz w:val="22"/>
          <w:szCs w:val="22"/>
        </w:rPr>
      </w:pPr>
      <w:r>
        <w:rPr>
          <w:rFonts w:ascii="Times New Roman" w:hAnsi="Times New Roman" w:cs="Times New Roman"/>
          <w:b/>
          <w:bCs/>
          <w:sz w:val="22"/>
          <w:szCs w:val="22"/>
        </w:rPr>
        <w:t>Notes</w:t>
      </w:r>
    </w:p>
    <w:p w14:paraId="0266AAFE" w14:textId="77777777" w:rsidR="00B12FCF" w:rsidRPr="00850CC8" w:rsidRDefault="00B12FCF" w:rsidP="00850CC8">
      <w:pPr>
        <w:spacing w:before="120" w:line="276" w:lineRule="auto"/>
        <w:ind w:firstLine="720"/>
        <w:jc w:val="both"/>
        <w:rPr>
          <w:rFonts w:ascii="Times New Roman" w:hAnsi="Times New Roman" w:cs="Times New Roman"/>
          <w:sz w:val="22"/>
          <w:szCs w:val="22"/>
        </w:rPr>
      </w:pPr>
      <w:r>
        <w:rPr>
          <w:rFonts w:ascii="Times New Roman" w:hAnsi="Times New Roman" w:cs="Times New Roman"/>
          <w:sz w:val="22"/>
          <w:szCs w:val="22"/>
        </w:rPr>
        <w:t xml:space="preserve">1. Samuel Scheffler, “Special Obligations and Ordinary Morality,” </w:t>
      </w:r>
      <w:r>
        <w:rPr>
          <w:rFonts w:ascii="Times New Roman" w:hAnsi="Times New Roman" w:cs="Times New Roman"/>
          <w:i/>
          <w:iCs/>
          <w:sz w:val="22"/>
          <w:szCs w:val="22"/>
        </w:rPr>
        <w:t>Ethics</w:t>
      </w:r>
      <w:r>
        <w:rPr>
          <w:rFonts w:ascii="Times New Roman" w:hAnsi="Times New Roman" w:cs="Times New Roman"/>
          <w:sz w:val="22"/>
          <w:szCs w:val="22"/>
        </w:rPr>
        <w:t xml:space="preserve"> 109, no. 2 (1999): 209–28. The argument is extended in his </w:t>
      </w:r>
      <w:r>
        <w:rPr>
          <w:rFonts w:ascii="Times New Roman" w:hAnsi="Times New Roman" w:cs="Times New Roman"/>
          <w:i/>
          <w:iCs/>
          <w:sz w:val="22"/>
          <w:szCs w:val="22"/>
        </w:rPr>
        <w:t>Boundaries and Allegiances: Problems of Justice and Responsibility in Liberal Thought</w:t>
      </w:r>
      <w:r>
        <w:rPr>
          <w:rFonts w:ascii="Times New Roman" w:hAnsi="Times New Roman" w:cs="Times New Roman"/>
          <w:sz w:val="22"/>
          <w:szCs w:val="22"/>
        </w:rPr>
        <w:t xml:space="preserve"> (Oxford: Oxford University Press, 2001), 48–87. Scheffler’s account is particularly valuable because it presses the case for special obligations from within analytic philosophy, where presumption has generally run in the direction of impartiality. For a theological development of the same point, see Gilbert Meilaender, </w:t>
      </w:r>
      <w:r>
        <w:rPr>
          <w:rFonts w:ascii="Times New Roman" w:hAnsi="Times New Roman" w:cs="Times New Roman"/>
          <w:i/>
          <w:iCs/>
          <w:sz w:val="22"/>
          <w:szCs w:val="22"/>
        </w:rPr>
        <w:t>Friendship: A Study in Theological Ethics</w:t>
      </w:r>
      <w:r>
        <w:rPr>
          <w:rFonts w:ascii="Times New Roman" w:hAnsi="Times New Roman" w:cs="Times New Roman"/>
          <w:sz w:val="22"/>
          <w:szCs w:val="22"/>
        </w:rPr>
        <w:t xml:space="preserve"> (Notre Dame: University of Notre Dame Press, 1981), 1–30.</w:t>
      </w:r>
    </w:p>
    <w:p w14:paraId="37BA9064" w14:textId="77777777" w:rsidR="00B12FCF" w:rsidRPr="00850CC8" w:rsidRDefault="00B12FCF" w:rsidP="00850CC8">
      <w:pPr>
        <w:spacing w:line="276" w:lineRule="auto"/>
        <w:rPr>
          <w:rFonts w:ascii="Times New Roman" w:hAnsi="Times New Roman" w:cs="Times New Roman"/>
          <w:sz w:val="22"/>
          <w:szCs w:val="22"/>
        </w:rPr>
      </w:pPr>
    </w:p>
    <w:p w14:paraId="0B421610" w14:textId="77777777" w:rsidR="00B12FCF" w:rsidRPr="00850CC8" w:rsidRDefault="00B12FCF" w:rsidP="00850CC8">
      <w:pPr>
        <w:spacing w:before="120" w:line="276" w:lineRule="auto"/>
        <w:ind w:firstLine="720"/>
        <w:jc w:val="both"/>
        <w:rPr>
          <w:rFonts w:ascii="Times New Roman" w:hAnsi="Times New Roman" w:cs="Times New Roman"/>
          <w:sz w:val="22"/>
          <w:szCs w:val="22"/>
        </w:rPr>
      </w:pPr>
      <w:r>
        <w:rPr>
          <w:rFonts w:ascii="Times New Roman" w:hAnsi="Times New Roman" w:cs="Times New Roman"/>
          <w:sz w:val="22"/>
          <w:szCs w:val="22"/>
        </w:rPr>
        <w:t xml:space="preserve">2. Bernard Williams, “Persons, Character and Morality,” in </w:t>
      </w:r>
      <w:r>
        <w:rPr>
          <w:rFonts w:ascii="Times New Roman" w:hAnsi="Times New Roman" w:cs="Times New Roman"/>
          <w:i/>
          <w:iCs/>
          <w:sz w:val="22"/>
          <w:szCs w:val="22"/>
        </w:rPr>
        <w:t>Moral Luck: Philosophical Papers 1973–1980</w:t>
      </w:r>
      <w:r>
        <w:rPr>
          <w:rFonts w:ascii="Times New Roman" w:hAnsi="Times New Roman" w:cs="Times New Roman"/>
          <w:sz w:val="22"/>
          <w:szCs w:val="22"/>
        </w:rPr>
        <w:t xml:space="preserve"> (Cambridge: Cambridge University Press, 1981), 18. The “one thought too many” formulation appears in this essay and has become one of the most frequently cited passages in contemporary ethical discussion. Williams’s broader critique of impartialism is developed in </w:t>
      </w:r>
      <w:r>
        <w:rPr>
          <w:rFonts w:ascii="Times New Roman" w:hAnsi="Times New Roman" w:cs="Times New Roman"/>
          <w:i/>
          <w:iCs/>
          <w:sz w:val="22"/>
          <w:szCs w:val="22"/>
        </w:rPr>
        <w:t>Ethics and the Limits of Philosophy</w:t>
      </w:r>
      <w:r>
        <w:rPr>
          <w:rFonts w:ascii="Times New Roman" w:hAnsi="Times New Roman" w:cs="Times New Roman"/>
          <w:sz w:val="22"/>
          <w:szCs w:val="22"/>
        </w:rPr>
        <w:t xml:space="preserve"> (Cambridge: Harvard University Press, 1985), 97–119.</w:t>
      </w:r>
    </w:p>
    <w:p w14:paraId="0155241B" w14:textId="77777777" w:rsidR="00B12FCF" w:rsidRPr="00850CC8" w:rsidRDefault="00B12FCF" w:rsidP="00850CC8">
      <w:pPr>
        <w:spacing w:line="276" w:lineRule="auto"/>
        <w:rPr>
          <w:rFonts w:ascii="Times New Roman" w:hAnsi="Times New Roman" w:cs="Times New Roman"/>
          <w:sz w:val="22"/>
          <w:szCs w:val="22"/>
        </w:rPr>
      </w:pPr>
    </w:p>
    <w:p w14:paraId="3A56CD71" w14:textId="77777777" w:rsidR="00B12FCF" w:rsidRPr="00850CC8" w:rsidRDefault="00B12FCF" w:rsidP="00850CC8">
      <w:pPr>
        <w:spacing w:before="120" w:line="276" w:lineRule="auto"/>
        <w:ind w:firstLine="720"/>
        <w:jc w:val="both"/>
        <w:rPr>
          <w:rFonts w:ascii="Times New Roman" w:hAnsi="Times New Roman" w:cs="Times New Roman"/>
          <w:sz w:val="22"/>
          <w:szCs w:val="22"/>
        </w:rPr>
      </w:pPr>
      <w:r>
        <w:rPr>
          <w:rFonts w:ascii="Times New Roman" w:hAnsi="Times New Roman" w:cs="Times New Roman"/>
          <w:sz w:val="22"/>
          <w:szCs w:val="22"/>
        </w:rPr>
        <w:lastRenderedPageBreak/>
        <w:t xml:space="preserve">3. Iris Murdoch, </w:t>
      </w:r>
      <w:r>
        <w:rPr>
          <w:rFonts w:ascii="Times New Roman" w:hAnsi="Times New Roman" w:cs="Times New Roman"/>
          <w:i/>
          <w:iCs/>
          <w:sz w:val="22"/>
          <w:szCs w:val="22"/>
        </w:rPr>
        <w:t>The Sovereignty of Good</w:t>
      </w:r>
      <w:r>
        <w:rPr>
          <w:rFonts w:ascii="Times New Roman" w:hAnsi="Times New Roman" w:cs="Times New Roman"/>
          <w:sz w:val="22"/>
          <w:szCs w:val="22"/>
        </w:rPr>
        <w:t xml:space="preserve"> (London: Routledge, 1970), 34–35. Murdoch’s description of moral vision as “just and loving attention” to the particular reality of the other person is one of the most important formulations in twentieth-century ethics. For a theological appropriation of Murdoch’s moral epistemology, see Stanley Hauerwas, </w:t>
      </w:r>
      <w:r>
        <w:rPr>
          <w:rFonts w:ascii="Times New Roman" w:hAnsi="Times New Roman" w:cs="Times New Roman"/>
          <w:i/>
          <w:iCs/>
          <w:sz w:val="22"/>
          <w:szCs w:val="22"/>
        </w:rPr>
        <w:t>Vision and Virtue: Essays in Christian Ethical Reflection</w:t>
      </w:r>
      <w:r>
        <w:rPr>
          <w:rFonts w:ascii="Times New Roman" w:hAnsi="Times New Roman" w:cs="Times New Roman"/>
          <w:sz w:val="22"/>
          <w:szCs w:val="22"/>
        </w:rPr>
        <w:t xml:space="preserve"> (Notre Dame: Fides Publishers, 1974), 29–47.</w:t>
      </w:r>
    </w:p>
    <w:p w14:paraId="2F143348" w14:textId="77777777" w:rsidR="00B12FCF" w:rsidRPr="00850CC8" w:rsidRDefault="00B12FCF" w:rsidP="00850CC8">
      <w:pPr>
        <w:spacing w:line="276" w:lineRule="auto"/>
        <w:rPr>
          <w:rFonts w:ascii="Times New Roman" w:hAnsi="Times New Roman" w:cs="Times New Roman"/>
          <w:sz w:val="22"/>
          <w:szCs w:val="22"/>
        </w:rPr>
      </w:pPr>
    </w:p>
    <w:p w14:paraId="35001E2F" w14:textId="77777777" w:rsidR="00B12FCF" w:rsidRPr="00850CC8" w:rsidRDefault="00B12FCF" w:rsidP="00850CC8">
      <w:pPr>
        <w:spacing w:before="120" w:line="276" w:lineRule="auto"/>
        <w:ind w:firstLine="720"/>
        <w:jc w:val="both"/>
        <w:rPr>
          <w:rFonts w:ascii="Times New Roman" w:hAnsi="Times New Roman" w:cs="Times New Roman"/>
          <w:sz w:val="22"/>
          <w:szCs w:val="22"/>
        </w:rPr>
      </w:pPr>
      <w:r>
        <w:rPr>
          <w:rFonts w:ascii="Times New Roman" w:hAnsi="Times New Roman" w:cs="Times New Roman"/>
          <w:sz w:val="22"/>
          <w:szCs w:val="22"/>
        </w:rPr>
        <w:t xml:space="preserve">4. Aristotle, </w:t>
      </w:r>
      <w:r>
        <w:rPr>
          <w:rFonts w:ascii="Times New Roman" w:hAnsi="Times New Roman" w:cs="Times New Roman"/>
          <w:i/>
          <w:iCs/>
          <w:sz w:val="22"/>
          <w:szCs w:val="22"/>
        </w:rPr>
        <w:t>Nicomachean Ethics</w:t>
      </w:r>
      <w:r>
        <w:rPr>
          <w:rFonts w:ascii="Times New Roman" w:hAnsi="Times New Roman" w:cs="Times New Roman"/>
          <w:sz w:val="22"/>
          <w:szCs w:val="22"/>
        </w:rPr>
        <w:t xml:space="preserve">, 1106b36–1107a2, trans. Terence Irwin, 2nd ed. (Indianapolis: Hackett, 1999). The locus classicus for </w:t>
      </w:r>
      <w:r>
        <w:rPr>
          <w:rFonts w:ascii="Times New Roman" w:hAnsi="Times New Roman" w:cs="Times New Roman"/>
          <w:i/>
          <w:iCs/>
          <w:sz w:val="22"/>
          <w:szCs w:val="22"/>
        </w:rPr>
        <w:t>phronēsis</w:t>
      </w:r>
      <w:r>
        <w:rPr>
          <w:rFonts w:ascii="Times New Roman" w:hAnsi="Times New Roman" w:cs="Times New Roman"/>
          <w:sz w:val="22"/>
          <w:szCs w:val="22"/>
        </w:rPr>
        <w:t xml:space="preserve"> as the capacity to discern what a particular situation requires is book six of the </w:t>
      </w:r>
      <w:r>
        <w:rPr>
          <w:rFonts w:ascii="Times New Roman" w:hAnsi="Times New Roman" w:cs="Times New Roman"/>
          <w:i/>
          <w:iCs/>
          <w:sz w:val="22"/>
          <w:szCs w:val="22"/>
        </w:rPr>
        <w:t>Nicomachean Ethics</w:t>
      </w:r>
      <w:r>
        <w:rPr>
          <w:rFonts w:ascii="Times New Roman" w:hAnsi="Times New Roman" w:cs="Times New Roman"/>
          <w:sz w:val="22"/>
          <w:szCs w:val="22"/>
        </w:rPr>
        <w:t xml:space="preserve">, especially 1140a24–1140b30. Alasdair MacIntyre’s recovery of Aristotelian practical wisdom as a corrective to modern moral theory is developed in </w:t>
      </w:r>
      <w:r>
        <w:rPr>
          <w:rFonts w:ascii="Times New Roman" w:hAnsi="Times New Roman" w:cs="Times New Roman"/>
          <w:i/>
          <w:iCs/>
          <w:sz w:val="22"/>
          <w:szCs w:val="22"/>
        </w:rPr>
        <w:t>After Virtue</w:t>
      </w:r>
      <w:r>
        <w:rPr>
          <w:rFonts w:ascii="Times New Roman" w:hAnsi="Times New Roman" w:cs="Times New Roman"/>
          <w:sz w:val="22"/>
          <w:szCs w:val="22"/>
        </w:rPr>
        <w:t xml:space="preserve">, 3rd ed. (Notre Dame: University of Notre Dame Press, 2007), 150–164, and extended in </w:t>
      </w:r>
      <w:r>
        <w:rPr>
          <w:rFonts w:ascii="Times New Roman" w:hAnsi="Times New Roman" w:cs="Times New Roman"/>
          <w:i/>
          <w:iCs/>
          <w:sz w:val="22"/>
          <w:szCs w:val="22"/>
        </w:rPr>
        <w:t>Dependent Rational Animals: Why Human Beings Need the Virtues</w:t>
      </w:r>
      <w:r>
        <w:rPr>
          <w:rFonts w:ascii="Times New Roman" w:hAnsi="Times New Roman" w:cs="Times New Roman"/>
          <w:sz w:val="22"/>
          <w:szCs w:val="22"/>
        </w:rPr>
        <w:t xml:space="preserve"> (Chicago: Open Court, 1999), 83–104.</w:t>
      </w:r>
    </w:p>
    <w:p w14:paraId="6092C06C" w14:textId="77777777" w:rsidR="00B12FCF" w:rsidRPr="00850CC8" w:rsidRDefault="00B12FCF" w:rsidP="00850CC8">
      <w:pPr>
        <w:spacing w:line="276" w:lineRule="auto"/>
        <w:rPr>
          <w:rFonts w:ascii="Times New Roman" w:hAnsi="Times New Roman" w:cs="Times New Roman"/>
          <w:sz w:val="22"/>
          <w:szCs w:val="22"/>
        </w:rPr>
      </w:pPr>
    </w:p>
    <w:p w14:paraId="78ECD6C8" w14:textId="77777777" w:rsidR="00B12FCF" w:rsidRPr="00850CC8" w:rsidRDefault="00B12FCF" w:rsidP="00850CC8">
      <w:pPr>
        <w:spacing w:before="120" w:line="276" w:lineRule="auto"/>
        <w:ind w:firstLine="720"/>
        <w:jc w:val="both"/>
        <w:rPr>
          <w:rFonts w:ascii="Times New Roman" w:hAnsi="Times New Roman" w:cs="Times New Roman"/>
          <w:sz w:val="22"/>
          <w:szCs w:val="22"/>
        </w:rPr>
      </w:pPr>
      <w:r>
        <w:rPr>
          <w:rFonts w:ascii="Times New Roman" w:hAnsi="Times New Roman" w:cs="Times New Roman"/>
          <w:sz w:val="22"/>
          <w:szCs w:val="22"/>
        </w:rPr>
        <w:t xml:space="preserve">5. Williams, </w:t>
      </w:r>
      <w:r>
        <w:rPr>
          <w:rFonts w:ascii="Times New Roman" w:hAnsi="Times New Roman" w:cs="Times New Roman"/>
          <w:i/>
          <w:iCs/>
          <w:sz w:val="22"/>
          <w:szCs w:val="22"/>
        </w:rPr>
        <w:t>Ethics and the Limits of Philosophy</w:t>
      </w:r>
      <w:r>
        <w:rPr>
          <w:rFonts w:ascii="Times New Roman" w:hAnsi="Times New Roman" w:cs="Times New Roman"/>
          <w:sz w:val="22"/>
          <w:szCs w:val="22"/>
        </w:rPr>
        <w:t xml:space="preserve">, 128–130. Williams’s argument that moral philosophy has systematically undervalued “thick” ethical concepts is one of the most important critical observations in recent ethics. The theological relevance of this distinction is developed in Oliver O’Donovan, </w:t>
      </w:r>
      <w:r>
        <w:rPr>
          <w:rFonts w:ascii="Times New Roman" w:hAnsi="Times New Roman" w:cs="Times New Roman"/>
          <w:i/>
          <w:iCs/>
          <w:sz w:val="22"/>
          <w:szCs w:val="22"/>
        </w:rPr>
        <w:t>Resurrection and Moral Order: An Outline for Evangelical Ethics</w:t>
      </w:r>
      <w:r>
        <w:rPr>
          <w:rFonts w:ascii="Times New Roman" w:hAnsi="Times New Roman" w:cs="Times New Roman"/>
          <w:sz w:val="22"/>
          <w:szCs w:val="22"/>
        </w:rPr>
        <w:t>, 2nd ed. (Grand Rapids: Eerdmans, 1994), 76–88.</w:t>
      </w:r>
    </w:p>
    <w:p w14:paraId="30F8B7E9" w14:textId="77777777" w:rsidR="00B12FCF" w:rsidRPr="00850CC8" w:rsidRDefault="00B12FCF" w:rsidP="00850CC8">
      <w:pPr>
        <w:spacing w:line="276" w:lineRule="auto"/>
        <w:rPr>
          <w:rFonts w:ascii="Times New Roman" w:hAnsi="Times New Roman" w:cs="Times New Roman"/>
          <w:sz w:val="22"/>
          <w:szCs w:val="22"/>
        </w:rPr>
      </w:pPr>
    </w:p>
    <w:p w14:paraId="50B425DB" w14:textId="77777777" w:rsidR="00B12FCF" w:rsidRPr="00850CC8" w:rsidRDefault="00B12FCF" w:rsidP="00850CC8">
      <w:pPr>
        <w:spacing w:before="120" w:line="276" w:lineRule="auto"/>
        <w:ind w:firstLine="720"/>
        <w:jc w:val="both"/>
        <w:rPr>
          <w:rFonts w:ascii="Times New Roman" w:hAnsi="Times New Roman" w:cs="Times New Roman"/>
          <w:sz w:val="22"/>
          <w:szCs w:val="22"/>
        </w:rPr>
      </w:pPr>
      <w:r>
        <w:rPr>
          <w:rFonts w:ascii="Times New Roman" w:hAnsi="Times New Roman" w:cs="Times New Roman"/>
          <w:sz w:val="22"/>
          <w:szCs w:val="22"/>
        </w:rPr>
        <w:t xml:space="preserve">6. Murdoch, </w:t>
      </w:r>
      <w:r>
        <w:rPr>
          <w:rFonts w:ascii="Times New Roman" w:hAnsi="Times New Roman" w:cs="Times New Roman"/>
          <w:i/>
          <w:iCs/>
          <w:sz w:val="22"/>
          <w:szCs w:val="22"/>
        </w:rPr>
        <w:t>The Sovereignty of Good</w:t>
      </w:r>
      <w:r>
        <w:rPr>
          <w:rFonts w:ascii="Times New Roman" w:hAnsi="Times New Roman" w:cs="Times New Roman"/>
          <w:sz w:val="22"/>
          <w:szCs w:val="22"/>
        </w:rPr>
        <w:t>, 87–89. The argument that moral life requires a prior reorientation of attention before it can issue in right action is central to Murdoch’s ethics. Her claim that selfishness is the characteristic distortion of moral vision maps closely onto the theological account of sin as the inward turning of the image-bearing creature away from its proper relational orientation.</w:t>
      </w:r>
    </w:p>
    <w:p w14:paraId="2A1D35F3" w14:textId="77777777" w:rsidR="00B12FCF" w:rsidRPr="00850CC8" w:rsidRDefault="00B12FCF" w:rsidP="00850CC8">
      <w:pPr>
        <w:spacing w:line="276" w:lineRule="auto"/>
        <w:rPr>
          <w:rFonts w:ascii="Times New Roman" w:hAnsi="Times New Roman" w:cs="Times New Roman"/>
          <w:sz w:val="22"/>
          <w:szCs w:val="22"/>
        </w:rPr>
      </w:pPr>
    </w:p>
    <w:p w14:paraId="3DAB7AA0" w14:textId="77777777" w:rsidR="00B12FCF" w:rsidRPr="00850CC8" w:rsidRDefault="00B12FCF" w:rsidP="00850CC8">
      <w:pPr>
        <w:spacing w:before="120" w:line="276" w:lineRule="auto"/>
        <w:ind w:firstLine="720"/>
        <w:jc w:val="both"/>
        <w:rPr>
          <w:rFonts w:ascii="Times New Roman" w:hAnsi="Times New Roman" w:cs="Times New Roman"/>
          <w:sz w:val="22"/>
          <w:szCs w:val="22"/>
        </w:rPr>
      </w:pPr>
      <w:r>
        <w:rPr>
          <w:rFonts w:ascii="Times New Roman" w:hAnsi="Times New Roman" w:cs="Times New Roman"/>
          <w:sz w:val="22"/>
          <w:szCs w:val="22"/>
        </w:rPr>
        <w:t xml:space="preserve">7. Alasdair MacIntyre, </w:t>
      </w:r>
      <w:r>
        <w:rPr>
          <w:rFonts w:ascii="Times New Roman" w:hAnsi="Times New Roman" w:cs="Times New Roman"/>
          <w:i/>
          <w:iCs/>
          <w:sz w:val="22"/>
          <w:szCs w:val="22"/>
        </w:rPr>
        <w:t>After Virtue</w:t>
      </w:r>
      <w:r>
        <w:rPr>
          <w:rFonts w:ascii="Times New Roman" w:hAnsi="Times New Roman" w:cs="Times New Roman"/>
          <w:sz w:val="22"/>
          <w:szCs w:val="22"/>
        </w:rPr>
        <w:t xml:space="preserve">, 216–217. MacIntyre’s argument that the self is constituted by the narratives within which it is embedded, and that moral reasoning requires appeal to those narratives rather than to abstract principles applied from outside, is one of the most significant contributions of the virtue ethics revival to contemporary moral philosophy. For a theological appropriation of the narrative self, see Hauerwas, </w:t>
      </w:r>
      <w:r>
        <w:rPr>
          <w:rFonts w:ascii="Times New Roman" w:hAnsi="Times New Roman" w:cs="Times New Roman"/>
          <w:i/>
          <w:iCs/>
          <w:sz w:val="22"/>
          <w:szCs w:val="22"/>
        </w:rPr>
        <w:t>A Community of Character: Toward a Constructive Christian Social Ethic</w:t>
      </w:r>
      <w:r>
        <w:rPr>
          <w:rFonts w:ascii="Times New Roman" w:hAnsi="Times New Roman" w:cs="Times New Roman"/>
          <w:sz w:val="22"/>
          <w:szCs w:val="22"/>
        </w:rPr>
        <w:t xml:space="preserve"> (Notre Dame: University of Notre Dame Press, 1981), 129–152.</w:t>
      </w:r>
    </w:p>
    <w:p w14:paraId="768C33AC" w14:textId="77777777" w:rsidR="00B12FCF" w:rsidRPr="00850CC8" w:rsidRDefault="00B12FCF" w:rsidP="00850CC8">
      <w:pPr>
        <w:spacing w:line="276" w:lineRule="auto"/>
        <w:rPr>
          <w:rFonts w:ascii="Times New Roman" w:hAnsi="Times New Roman" w:cs="Times New Roman"/>
          <w:sz w:val="22"/>
          <w:szCs w:val="22"/>
        </w:rPr>
      </w:pPr>
    </w:p>
    <w:p w14:paraId="7BA74EBB" w14:textId="77777777" w:rsidR="00B12FCF" w:rsidRPr="00850CC8" w:rsidRDefault="00B12FCF" w:rsidP="00850CC8">
      <w:pPr>
        <w:spacing w:before="120" w:line="276" w:lineRule="auto"/>
        <w:ind w:firstLine="720"/>
        <w:jc w:val="both"/>
        <w:rPr>
          <w:rFonts w:ascii="Times New Roman" w:hAnsi="Times New Roman" w:cs="Times New Roman"/>
          <w:sz w:val="22"/>
          <w:szCs w:val="22"/>
        </w:rPr>
      </w:pPr>
      <w:r>
        <w:rPr>
          <w:rFonts w:ascii="Times New Roman" w:hAnsi="Times New Roman" w:cs="Times New Roman"/>
          <w:sz w:val="22"/>
          <w:szCs w:val="22"/>
        </w:rPr>
        <w:t xml:space="preserve">8. Karol Wojtyła, </w:t>
      </w:r>
      <w:r>
        <w:rPr>
          <w:rFonts w:ascii="Times New Roman" w:hAnsi="Times New Roman" w:cs="Times New Roman"/>
          <w:i/>
          <w:iCs/>
          <w:sz w:val="22"/>
          <w:szCs w:val="22"/>
        </w:rPr>
        <w:t>Love and Responsibility</w:t>
      </w:r>
      <w:r>
        <w:rPr>
          <w:rFonts w:ascii="Times New Roman" w:hAnsi="Times New Roman" w:cs="Times New Roman"/>
          <w:sz w:val="22"/>
          <w:szCs w:val="22"/>
        </w:rPr>
        <w:t xml:space="preserve">, trans. Grzegorz Ignatik (Boston: Pauline Books and Media, 2013), 41–42. The personalist norm as Wojtyła formulates it holds that the person is the kind of being for whom only love is the adequate response: love is the only response that meets the person as a person rather than as a means to some further end. Martin Buber, </w:t>
      </w:r>
      <w:r>
        <w:rPr>
          <w:rFonts w:ascii="Times New Roman" w:hAnsi="Times New Roman" w:cs="Times New Roman"/>
          <w:i/>
          <w:iCs/>
          <w:sz w:val="22"/>
          <w:szCs w:val="22"/>
        </w:rPr>
        <w:t>I and Thou</w:t>
      </w:r>
      <w:r>
        <w:rPr>
          <w:rFonts w:ascii="Times New Roman" w:hAnsi="Times New Roman" w:cs="Times New Roman"/>
          <w:sz w:val="22"/>
          <w:szCs w:val="22"/>
        </w:rPr>
        <w:t xml:space="preserve">, trans. Walter Kaufmann (New York: Scribner, 1970), Part One. Buber’s I-Thou and I-It distinction is not merely a phenomenological description of different kinds of encounter but carries a moral weight: the I-It stance, which reduces the other to an object of use or analysis, is the morally deficient stance regardless of what external action it produces. For a theological appropriation of Buber’s categories directly relevant to the present argument, see Emil Brunner, </w:t>
      </w:r>
      <w:r>
        <w:rPr>
          <w:rFonts w:ascii="Times New Roman" w:hAnsi="Times New Roman" w:cs="Times New Roman"/>
          <w:i/>
          <w:iCs/>
          <w:sz w:val="22"/>
          <w:szCs w:val="22"/>
        </w:rPr>
        <w:t>Truth as Encounter</w:t>
      </w:r>
      <w:r>
        <w:rPr>
          <w:rFonts w:ascii="Times New Roman" w:hAnsi="Times New Roman" w:cs="Times New Roman"/>
          <w:sz w:val="22"/>
          <w:szCs w:val="22"/>
        </w:rPr>
        <w:t>, trans. Amandus Loos and David Cairns (Philadelphia: Westminster Press, 1964), 27–45.</w:t>
      </w:r>
    </w:p>
    <w:p w14:paraId="5C8468DF" w14:textId="77777777" w:rsidR="00B12FCF" w:rsidRPr="00850CC8" w:rsidRDefault="00B12FCF" w:rsidP="00850CC8">
      <w:pPr>
        <w:spacing w:line="276" w:lineRule="auto"/>
        <w:rPr>
          <w:rFonts w:ascii="Times New Roman" w:hAnsi="Times New Roman" w:cs="Times New Roman"/>
          <w:sz w:val="22"/>
          <w:szCs w:val="22"/>
        </w:rPr>
      </w:pPr>
    </w:p>
    <w:p w14:paraId="5EB8267A" w14:textId="77777777" w:rsidR="00B12FCF" w:rsidRPr="00850CC8" w:rsidRDefault="00B12FCF" w:rsidP="00850CC8">
      <w:pPr>
        <w:spacing w:before="120" w:line="276" w:lineRule="auto"/>
        <w:ind w:firstLine="720"/>
        <w:jc w:val="both"/>
        <w:rPr>
          <w:rFonts w:ascii="Times New Roman" w:hAnsi="Times New Roman" w:cs="Times New Roman"/>
          <w:sz w:val="22"/>
          <w:szCs w:val="22"/>
        </w:rPr>
      </w:pPr>
      <w:r>
        <w:rPr>
          <w:rFonts w:ascii="Times New Roman" w:hAnsi="Times New Roman" w:cs="Times New Roman"/>
          <w:sz w:val="22"/>
          <w:szCs w:val="22"/>
        </w:rPr>
        <w:lastRenderedPageBreak/>
        <w:t xml:space="preserve">9. Desmond Tutu, </w:t>
      </w:r>
      <w:r>
        <w:rPr>
          <w:rFonts w:ascii="Times New Roman" w:hAnsi="Times New Roman" w:cs="Times New Roman"/>
          <w:i/>
          <w:iCs/>
          <w:sz w:val="22"/>
          <w:szCs w:val="22"/>
        </w:rPr>
        <w:t>No Future Without Forgiveness</w:t>
      </w:r>
      <w:r>
        <w:rPr>
          <w:rFonts w:ascii="Times New Roman" w:hAnsi="Times New Roman" w:cs="Times New Roman"/>
          <w:sz w:val="22"/>
          <w:szCs w:val="22"/>
        </w:rPr>
        <w:t xml:space="preserve"> (New York: Doubleday, 1999), 54–72. Tutu’s account of the TRC’s theological foundation develops the ubuntu principle as a description of the relational constitution of persons rather than as a cultural sentiment, and his insistence that the process required honest acknowledgment of what was done rather than amnesia corresponds precisely to what the present chapter has described as the reflective and personal dimensions of the moral life. For the distinction between the TRC’s retributive and restorative dimensions, which becomes the subject of Chapter Eight’s argument about justice, see the analysis in Christopher D. Marshall, </w:t>
      </w:r>
      <w:r>
        <w:rPr>
          <w:rFonts w:ascii="Times New Roman" w:hAnsi="Times New Roman" w:cs="Times New Roman"/>
          <w:i/>
          <w:iCs/>
          <w:sz w:val="22"/>
          <w:szCs w:val="22"/>
        </w:rPr>
        <w:t>Beyond Retribution: A New Testament Vision for Justice, Crime, and Punishment</w:t>
      </w:r>
      <w:r>
        <w:rPr>
          <w:rFonts w:ascii="Times New Roman" w:hAnsi="Times New Roman" w:cs="Times New Roman"/>
          <w:sz w:val="22"/>
          <w:szCs w:val="22"/>
        </w:rPr>
        <w:t xml:space="preserve"> (Grand Rapids: Eerdmans, 2001), 35–71, and Howard Zehr, </w:t>
      </w:r>
      <w:r>
        <w:rPr>
          <w:rFonts w:ascii="Times New Roman" w:hAnsi="Times New Roman" w:cs="Times New Roman"/>
          <w:i/>
          <w:iCs/>
          <w:sz w:val="22"/>
          <w:szCs w:val="22"/>
        </w:rPr>
        <w:t>Changing Lenses: Restorative Justice for Our Times</w:t>
      </w:r>
      <w:r>
        <w:rPr>
          <w:rFonts w:ascii="Times New Roman" w:hAnsi="Times New Roman" w:cs="Times New Roman"/>
          <w:sz w:val="22"/>
          <w:szCs w:val="22"/>
        </w:rPr>
        <w:t>, 25th anniversary ed. (Harrisonburg, VA: Herald Press, 2015), 181–186.</w:t>
      </w:r>
    </w:p>
    <w:p w14:paraId="40446D74" w14:textId="2CC21424" w:rsidR="00ED3C58" w:rsidRPr="00850CC8" w:rsidRDefault="00ED3C58" w:rsidP="00850CC8">
      <w:pPr>
        <w:spacing w:line="276" w:lineRule="auto"/>
        <w:rPr>
          <w:rFonts w:ascii="Times New Roman" w:hAnsi="Times New Roman" w:cs="Times New Roman"/>
          <w:sz w:val="22"/>
          <w:szCs w:val="22"/>
        </w:rPr>
      </w:pPr>
      <w:r>
        <w:rPr>
          <w:rFonts w:ascii="Times New Roman" w:hAnsi="Times New Roman" w:cs="Times New Roman"/>
          <w:sz w:val="22"/>
          <w:szCs w:val="22"/>
        </w:rPr>
        <w:br w:type="page"/>
      </w:r>
    </w:p>
    <w:p w14:paraId="5DFFC797" w14:textId="77777777" w:rsidR="00D33010" w:rsidRPr="00850CC8" w:rsidRDefault="00D33010" w:rsidP="00850CC8">
      <w:pPr>
        <w:pStyle w:val="Heading1"/>
        <w:spacing w:line="276" w:lineRule="auto"/>
        <w:jc w:val="center"/>
        <w:rPr>
          <w:rFonts w:ascii="Times New Roman" w:hAnsi="Times New Roman" w:cs="Times New Roman"/>
          <w:color w:val="000000" w:themeColor="text1"/>
          <w:sz w:val="22"/>
          <w:szCs w:val="22"/>
        </w:rPr>
      </w:pPr>
      <w:bookmarkStart w:id="8" w:name="_Toc228335814"/>
      <w:r>
        <w:rPr>
          <w:rFonts w:ascii="Times New Roman" w:hAnsi="Times New Roman" w:cs="Times New Roman"/>
          <w:color w:val="000000" w:themeColor="text1"/>
          <w:sz w:val="22"/>
          <w:szCs w:val="22"/>
        </w:rPr>
        <w:lastRenderedPageBreak/>
        <w:t>Chapter Five</w:t>
        <w:br/>
        <w:t>The Grammar of Love</w:t>
      </w:r>
      <w:bookmarkEnd w:id="8"/>
    </w:p>
    <w:p w14:paraId="3898CE3D" w14:textId="77777777" w:rsidR="00D33010" w:rsidRPr="00850CC8" w:rsidRDefault="00D33010" w:rsidP="00850CC8">
      <w:pPr>
        <w:pStyle w:val="Heading1"/>
        <w:spacing w:line="276" w:lineRule="auto"/>
        <w:jc w:val="center"/>
        <w:rPr>
          <w:rFonts w:ascii="Times New Roman" w:hAnsi="Times New Roman" w:cs="Times New Roman"/>
          <w:color w:val="000000" w:themeColor="text1"/>
          <w:sz w:val="22"/>
          <w:szCs w:val="22"/>
        </w:rPr>
      </w:pPr>
    </w:p>
    <w:p w14:paraId="592CC097" w14:textId="77777777" w:rsidR="00D33010" w:rsidRPr="00850CC8" w:rsidRDefault="00D33010" w:rsidP="00850CC8">
      <w:pPr>
        <w:spacing w:line="276" w:lineRule="auto"/>
        <w:jc w:val="both"/>
        <w:rPr>
          <w:rFonts w:ascii="Times New Roman" w:hAnsi="Times New Roman" w:cs="Times New Roman"/>
          <w:sz w:val="22"/>
          <w:szCs w:val="22"/>
        </w:rPr>
      </w:pPr>
      <w:r>
        <w:rPr>
          <w:rFonts w:ascii="Times New Roman" w:hAnsi="Times New Roman" w:cs="Times New Roman"/>
          <w:sz w:val="22"/>
          <w:szCs w:val="22"/>
        </w:rPr>
        <w:t>There is a passage in the Gospel of Matthew in which a lawyer puts to Jesus what the text describes as a test: “Teacher, which is the great commandment in the Law?” (Matthew 22:36). The question is not frivolous. It belongs to a long tradition of Jewish reflection on the relative weight of the commandments, a tradition in which various teachers had proposed candidates for the single principle from which all the rest could be derived. Jesus’ answer is the most famous in that tradition, and also, on examination, the most structurally complex.</w:t>
      </w:r>
    </w:p>
    <w:p w14:paraId="24E5572B" w14:textId="77777777" w:rsidR="00D33010" w:rsidRPr="00850CC8" w:rsidRDefault="00D33010" w:rsidP="00850CC8">
      <w:pPr>
        <w:spacing w:line="276" w:lineRule="auto"/>
        <w:rPr>
          <w:rFonts w:ascii="Times New Roman" w:hAnsi="Times New Roman" w:cs="Times New Roman"/>
          <w:sz w:val="22"/>
          <w:szCs w:val="22"/>
        </w:rPr>
      </w:pPr>
    </w:p>
    <w:p w14:paraId="0D4DDF32" w14:textId="77777777" w:rsidR="00D33010" w:rsidRPr="00850CC8" w:rsidRDefault="00D33010"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He does not name one commandment. He names two. “You shall love the Lord your God with all your heart and with all your soul and with all your mind. This is the great and first commandment. And a second is like it: You shall love your neighbor as yourself. On these two commandments depend all the Law and the Prophets” (Matthew 22:37–40).</w:t>
      </w:r>
    </w:p>
    <w:p w14:paraId="7F783B15" w14:textId="77777777" w:rsidR="00D33010" w:rsidRPr="00850CC8" w:rsidRDefault="00D33010" w:rsidP="00850CC8">
      <w:pPr>
        <w:spacing w:line="276" w:lineRule="auto"/>
        <w:rPr>
          <w:rFonts w:ascii="Times New Roman" w:hAnsi="Times New Roman" w:cs="Times New Roman"/>
          <w:sz w:val="22"/>
          <w:szCs w:val="22"/>
        </w:rPr>
      </w:pPr>
    </w:p>
    <w:p w14:paraId="427F7E21" w14:textId="77777777" w:rsidR="00D33010" w:rsidRPr="00850CC8" w:rsidRDefault="00D33010"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The doubling is not evasion. The lawyer asked for the great commandment, singular, and Jesus gave him two. But he did not give two independent items that happen to share the category of greatness. He gave two commandments that are structurally related to each other in a way that neither can be understood without the other. The second, he says, is “like” the first. The verb Matthew uses (</w:t>
      </w:r>
      <w:r>
        <w:rPr>
          <w:rFonts w:ascii="Times New Roman" w:hAnsi="Times New Roman" w:cs="Times New Roman"/>
          <w:i/>
          <w:iCs/>
          <w:sz w:val="22"/>
          <w:szCs w:val="22"/>
        </w:rPr>
        <w:t>homoios</w:t>
      </w:r>
      <w:r>
        <w:rPr>
          <w:rFonts w:ascii="Times New Roman" w:hAnsi="Times New Roman" w:cs="Times New Roman"/>
          <w:sz w:val="22"/>
          <w:szCs w:val="22"/>
        </w:rPr>
        <w:t>) does not mean ‘similar in intensity’ or ‘parallel in importance’. It means belonging to the same kind, sharing the same essential form. The love of God and the love of neighbor are not two separate things that happen to be ranked at the top of the same list. They are two expressions of a single moral reality.</w:t>
      </w:r>
    </w:p>
    <w:p w14:paraId="3016883D" w14:textId="77777777" w:rsidR="00D33010" w:rsidRPr="00850CC8" w:rsidRDefault="00D33010" w:rsidP="00850CC8">
      <w:pPr>
        <w:spacing w:line="276" w:lineRule="auto"/>
        <w:rPr>
          <w:rFonts w:ascii="Times New Roman" w:hAnsi="Times New Roman" w:cs="Times New Roman"/>
          <w:sz w:val="22"/>
          <w:szCs w:val="22"/>
        </w:rPr>
      </w:pPr>
    </w:p>
    <w:p w14:paraId="6B75543D" w14:textId="77777777" w:rsidR="00D33010" w:rsidRPr="00850CC8" w:rsidRDefault="00D33010"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This chapter is about that single moral reality, and about the compact summary of it that Jesus offers a few chapters earlier in the same Gospel: “So whatever you wish that others would do to you, do also to them, for this is the Law and the Prophets” (Matthew 7:12). The Golden Rule. The argument here is that when these texts are read together, and read in light of the Trinitarian theology and anthropology of the preceding chapters, they yield something more than a practical guide to conduct. They yield a grammar, a deep structural account of how love actually works, that turns out to be a description of the inner life of God before it is a prescription for the moral life of creatures.</w:t>
      </w:r>
    </w:p>
    <w:p w14:paraId="0F2D9E53" w14:textId="77777777" w:rsidR="00D33010" w:rsidRPr="00850CC8" w:rsidRDefault="00D33010" w:rsidP="00850CC8">
      <w:pPr>
        <w:spacing w:line="276" w:lineRule="auto"/>
        <w:rPr>
          <w:rFonts w:ascii="Times New Roman" w:hAnsi="Times New Roman" w:cs="Times New Roman"/>
          <w:sz w:val="22"/>
          <w:szCs w:val="22"/>
        </w:rPr>
      </w:pPr>
    </w:p>
    <w:p w14:paraId="641F9ADC" w14:textId="77777777" w:rsidR="00D33010" w:rsidRPr="00850CC8" w:rsidRDefault="00D33010" w:rsidP="00850CC8">
      <w:pPr>
        <w:spacing w:before="480" w:after="240" w:line="276" w:lineRule="auto"/>
        <w:rPr>
          <w:rFonts w:ascii="Times New Roman" w:hAnsi="Times New Roman" w:cs="Times New Roman"/>
          <w:sz w:val="22"/>
          <w:szCs w:val="22"/>
        </w:rPr>
      </w:pPr>
      <w:r>
        <w:rPr>
          <w:rFonts w:ascii="Times New Roman" w:hAnsi="Times New Roman" w:cs="Times New Roman"/>
          <w:b/>
          <w:bCs/>
          <w:sz w:val="22"/>
          <w:szCs w:val="22"/>
        </w:rPr>
        <w:t>The Two Commandments as One</w:t>
      </w:r>
    </w:p>
    <w:p w14:paraId="2B84D96B" w14:textId="77777777" w:rsidR="00D33010" w:rsidRPr="00850CC8" w:rsidRDefault="00D33010" w:rsidP="00850CC8">
      <w:pPr>
        <w:spacing w:line="276" w:lineRule="auto"/>
        <w:jc w:val="both"/>
        <w:rPr>
          <w:rFonts w:ascii="Times New Roman" w:hAnsi="Times New Roman" w:cs="Times New Roman"/>
          <w:sz w:val="22"/>
          <w:szCs w:val="22"/>
        </w:rPr>
      </w:pPr>
      <w:r>
        <w:rPr>
          <w:rFonts w:ascii="Times New Roman" w:hAnsi="Times New Roman" w:cs="Times New Roman"/>
          <w:sz w:val="22"/>
          <w:szCs w:val="22"/>
        </w:rPr>
        <w:t xml:space="preserve">The connection between love of God and love of neighbor is not a Christian innovation. Leviticus 19:18, from which Jesus draws the second commandment, sits in a context of laws about care for the vulnerable, honest dealing, and restraint of vengeance, laws whose cumulative logic is that the holiness of God must express itself in the social fabric of his people. The Shema of Deuteronomy 6:4–5, from which Jesus draws the first commandment, is itself surrounded by instructions for forming a community whose common life reflects the character of the God it worships. The two commandments Jesus quotes are not isolated maxims. They belong to stretches of text in which the vertical dimension of Israel’s covenant with God and the </w:t>
        <w:lastRenderedPageBreak/>
        <w:t>horizontal dimension of Israel’s life with one another are already being held together as aspects of a single reality.</w:t>
      </w:r>
    </w:p>
    <w:p w14:paraId="22959C23" w14:textId="77777777" w:rsidR="00D33010" w:rsidRPr="00850CC8" w:rsidRDefault="00D33010" w:rsidP="00850CC8">
      <w:pPr>
        <w:spacing w:line="276" w:lineRule="auto"/>
        <w:rPr>
          <w:rFonts w:ascii="Times New Roman" w:hAnsi="Times New Roman" w:cs="Times New Roman"/>
          <w:sz w:val="22"/>
          <w:szCs w:val="22"/>
        </w:rPr>
      </w:pPr>
    </w:p>
    <w:p w14:paraId="6093C261" w14:textId="77777777" w:rsidR="00D33010" w:rsidRPr="00850CC8" w:rsidRDefault="00D33010"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What Jesus does in Matthew 22 is make explicit what the structure of the Pentateuch already implies: that you cannot properly attend to one dimension without the other. This is not simply a practical observation about religious hypocrisy, the person who claims to love God while treating their neighbor with contempt. It is a theological claim about the nature of love itself. The First Letter of John presses it to its logical conclusion: “If anyone says, ‘I love God,’ and hates his brother, he is a liar; for he who does not love his brother whom he has seen cannot love God whom he has not seen” (1 John 4:20).</w:t>
      </w:r>
      <w:r>
        <w:rPr>
          <w:rFonts w:ascii="Times New Roman" w:hAnsi="Times New Roman" w:cs="Times New Roman"/>
          <w:sz w:val="22"/>
          <w:szCs w:val="22"/>
          <w:vertAlign w:val="superscript"/>
        </w:rPr>
        <w:t>1</w:t>
      </w:r>
      <w:r>
        <w:rPr>
          <w:rFonts w:ascii="Times New Roman" w:hAnsi="Times New Roman" w:cs="Times New Roman"/>
          <w:sz w:val="22"/>
          <w:szCs w:val="22"/>
        </w:rPr>
        <w:t xml:space="preserve"> The claim is not merely that inconsistency is blameworthy. It is that the two loves have the same structure, flow from the same source, and cannot coherently be separated.</w:t>
      </w:r>
    </w:p>
    <w:p w14:paraId="1F94F103" w14:textId="77777777" w:rsidR="00D33010" w:rsidRPr="00850CC8" w:rsidRDefault="00D33010" w:rsidP="00850CC8">
      <w:pPr>
        <w:spacing w:line="276" w:lineRule="auto"/>
        <w:rPr>
          <w:rFonts w:ascii="Times New Roman" w:hAnsi="Times New Roman" w:cs="Times New Roman"/>
          <w:sz w:val="22"/>
          <w:szCs w:val="22"/>
        </w:rPr>
      </w:pPr>
    </w:p>
    <w:p w14:paraId="2FEEB78A" w14:textId="77777777" w:rsidR="00D33010" w:rsidRPr="00850CC8" w:rsidRDefault="00D33010"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The word Jesus uses for the relationship between the two commandments, “like it,” deserves more attention than it usually receives in ethical discussion. He is not saying that the love of neighbor is a second-order obligation that comes into play when no direct obligation to God is at stake. He is saying that the love of neighbor shares the essential form of the love of God. Both are expressions of the same kind of love, oriented in different directions. The difference is in the direction, not in the nature of love itself.</w:t>
      </w:r>
    </w:p>
    <w:p w14:paraId="7403EC7E" w14:textId="77777777" w:rsidR="00D33010" w:rsidRPr="00850CC8" w:rsidRDefault="00D33010" w:rsidP="00850CC8">
      <w:pPr>
        <w:spacing w:line="276" w:lineRule="auto"/>
        <w:rPr>
          <w:rFonts w:ascii="Times New Roman" w:hAnsi="Times New Roman" w:cs="Times New Roman"/>
          <w:sz w:val="22"/>
          <w:szCs w:val="22"/>
        </w:rPr>
      </w:pPr>
    </w:p>
    <w:p w14:paraId="559482ED" w14:textId="77777777" w:rsidR="00D33010" w:rsidRPr="00850CC8" w:rsidRDefault="00D33010"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This structural relationship has been observed by careful readers of the passage from various angles. Victor Furnish, in his study of the love commandment in Paul, argues that the two commandments are not simply juxtaposed but organically related: the love of God provides the motive and ground from which love of neighbor flows, while love of neighbor provides the concrete form in which love of God is expressed in a world of creaturely relations.</w:t>
      </w:r>
      <w:r>
        <w:rPr>
          <w:rFonts w:ascii="Times New Roman" w:hAnsi="Times New Roman" w:cs="Times New Roman"/>
          <w:sz w:val="22"/>
          <w:szCs w:val="22"/>
          <w:vertAlign w:val="superscript"/>
        </w:rPr>
        <w:t>2</w:t>
      </w:r>
      <w:r>
        <w:rPr>
          <w:rFonts w:ascii="Times New Roman" w:hAnsi="Times New Roman" w:cs="Times New Roman"/>
          <w:sz w:val="22"/>
          <w:szCs w:val="22"/>
        </w:rPr>
        <w:t xml:space="preserve"> Neither commandment is intelligible without the other, because neither love is possible without the other. They are two movements of a single act.</w:t>
      </w:r>
    </w:p>
    <w:p w14:paraId="3D6FA054" w14:textId="77777777" w:rsidR="00D33010" w:rsidRPr="00850CC8" w:rsidRDefault="00D33010" w:rsidP="00850CC8">
      <w:pPr>
        <w:spacing w:line="276" w:lineRule="auto"/>
        <w:rPr>
          <w:rFonts w:ascii="Times New Roman" w:hAnsi="Times New Roman" w:cs="Times New Roman"/>
          <w:sz w:val="22"/>
          <w:szCs w:val="22"/>
        </w:rPr>
      </w:pPr>
    </w:p>
    <w:p w14:paraId="7E66955F" w14:textId="77777777" w:rsidR="00D33010" w:rsidRPr="00850CC8" w:rsidRDefault="00D33010" w:rsidP="00850CC8">
      <w:pPr>
        <w:spacing w:before="480" w:after="240" w:line="276" w:lineRule="auto"/>
        <w:rPr>
          <w:rFonts w:ascii="Times New Roman" w:hAnsi="Times New Roman" w:cs="Times New Roman"/>
          <w:sz w:val="22"/>
          <w:szCs w:val="22"/>
        </w:rPr>
      </w:pPr>
      <w:r>
        <w:rPr>
          <w:rFonts w:ascii="Times New Roman" w:hAnsi="Times New Roman" w:cs="Times New Roman"/>
          <w:b/>
          <w:bCs/>
          <w:sz w:val="22"/>
          <w:szCs w:val="22"/>
        </w:rPr>
        <w:t>The Golden Rule and Its Warrant</w:t>
      </w:r>
    </w:p>
    <w:p w14:paraId="407D5C11" w14:textId="77777777" w:rsidR="00D33010" w:rsidRPr="00850CC8" w:rsidRDefault="00D33010" w:rsidP="00850CC8">
      <w:pPr>
        <w:spacing w:line="276" w:lineRule="auto"/>
        <w:jc w:val="both"/>
        <w:rPr>
          <w:rFonts w:ascii="Times New Roman" w:hAnsi="Times New Roman" w:cs="Times New Roman"/>
          <w:sz w:val="22"/>
          <w:szCs w:val="22"/>
        </w:rPr>
      </w:pPr>
      <w:r>
        <w:rPr>
          <w:rFonts w:ascii="Times New Roman" w:hAnsi="Times New Roman" w:cs="Times New Roman"/>
          <w:sz w:val="22"/>
          <w:szCs w:val="22"/>
        </w:rPr>
        <w:t>The Golden Rule appears in Matthew 7:12 at the conclusion of a sequence of instructions about prayer, generosity, and the avoidance of judgment. The placement is not incidental. Jesus has been describing the shape of a life oriented toward God rather than toward self-protection, a life that asks and receives, that gives without calculating the return, that refrains from the kind of judgment that treats others as objects of assessment rather than as persons deserving of the same care one would wish for oneself. The Golden Rule is the summary of this posture, not a new topic introduced after the preceding material, but the compact formulation of what the preceding material has been describing.</w:t>
      </w:r>
    </w:p>
    <w:p w14:paraId="2441CA13" w14:textId="77777777" w:rsidR="00D33010" w:rsidRPr="00850CC8" w:rsidRDefault="00D33010" w:rsidP="00850CC8">
      <w:pPr>
        <w:spacing w:line="276" w:lineRule="auto"/>
        <w:rPr>
          <w:rFonts w:ascii="Times New Roman" w:hAnsi="Times New Roman" w:cs="Times New Roman"/>
          <w:sz w:val="22"/>
          <w:szCs w:val="22"/>
        </w:rPr>
      </w:pPr>
    </w:p>
    <w:p w14:paraId="0AF202D6" w14:textId="77777777" w:rsidR="00D33010" w:rsidRPr="00850CC8" w:rsidRDefault="00D33010"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The word translated “so” or “therefore” (</w:t>
      </w:r>
      <w:r>
        <w:rPr>
          <w:rFonts w:ascii="Times New Roman" w:hAnsi="Times New Roman" w:cs="Times New Roman"/>
          <w:i/>
          <w:iCs/>
          <w:sz w:val="22"/>
          <w:szCs w:val="22"/>
        </w:rPr>
        <w:t>oun</w:t>
      </w:r>
      <w:r>
        <w:rPr>
          <w:rFonts w:ascii="Times New Roman" w:hAnsi="Times New Roman" w:cs="Times New Roman"/>
          <w:sz w:val="22"/>
          <w:szCs w:val="22"/>
        </w:rPr>
        <w:t>) in Matthew 7:12 is important. It signals that the Golden Rule is a conclusion drawn from something, not a free-standing maxim. What it is drawn from, in the immediate context, is the picture of God as a father who gives good things to those who ask (7:9–11). The logic runs: because God treats his children with generous, attentive care, you should treat others with the same generous, attentive care. The Golden Rule is rooted in the character of God before it is a requirement for human conduct.</w:t>
      </w:r>
    </w:p>
    <w:p w14:paraId="01638D9C" w14:textId="77777777" w:rsidR="00D33010" w:rsidRPr="00850CC8" w:rsidRDefault="00D33010" w:rsidP="00850CC8">
      <w:pPr>
        <w:spacing w:line="276" w:lineRule="auto"/>
        <w:rPr>
          <w:rFonts w:ascii="Times New Roman" w:hAnsi="Times New Roman" w:cs="Times New Roman"/>
          <w:sz w:val="22"/>
          <w:szCs w:val="22"/>
        </w:rPr>
      </w:pPr>
    </w:p>
    <w:p w14:paraId="633C402F" w14:textId="77777777" w:rsidR="00D33010" w:rsidRPr="00850CC8" w:rsidRDefault="00D33010"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lastRenderedPageBreak/>
        <w:t>The warrant Jesus appends, “for this is the Law and the Prophets,” places the Golden Rule in the same position that the two great commandments occupy in Matthew 22. Both the two commandments and the Golden Rule are said to be the summary of the Law and the Prophets. This is not a contradiction. It is an indication that the Golden Rule and the two great commandments are expressing the same thing from different angles. The two commandments identify the direction of the love that is required: toward God and toward neighbor. The Golden Rule identifies the structure of that love: it is reflexive, taking the agent’s own experience of receiving good treatment as the normative measure for what the neighbor is owed.</w:t>
      </w:r>
    </w:p>
    <w:p w14:paraId="197732DB" w14:textId="77777777" w:rsidR="00D33010" w:rsidRPr="00850CC8" w:rsidRDefault="00D33010" w:rsidP="00850CC8">
      <w:pPr>
        <w:spacing w:line="276" w:lineRule="auto"/>
        <w:rPr>
          <w:rFonts w:ascii="Times New Roman" w:hAnsi="Times New Roman" w:cs="Times New Roman"/>
          <w:sz w:val="22"/>
          <w:szCs w:val="22"/>
        </w:rPr>
      </w:pPr>
    </w:p>
    <w:p w14:paraId="0CE6AA18" w14:textId="77777777" w:rsidR="00D33010" w:rsidRPr="00850CC8" w:rsidRDefault="00D33010"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Jeffrey Wattles, in the most comprehensive scholarly treatment of the Golden Rule available, traces the maxim across traditions from ancient Egypt and China through Greek philosophy and the Abrahamic religions. His analysis establishes that the Rule is not a uniquely Christian or even uniquely Jewish formulation but belongs to what he calls the “axial” moral inheritance of humanity, appearing in some form wherever serious ethical reflection has taken root.</w:t>
      </w:r>
      <w:r>
        <w:rPr>
          <w:rFonts w:ascii="Times New Roman" w:hAnsi="Times New Roman" w:cs="Times New Roman"/>
          <w:sz w:val="22"/>
          <w:szCs w:val="22"/>
          <w:vertAlign w:val="superscript"/>
        </w:rPr>
        <w:t>3</w:t>
      </w:r>
      <w:r>
        <w:rPr>
          <w:rFonts w:ascii="Times New Roman" w:hAnsi="Times New Roman" w:cs="Times New Roman"/>
          <w:sz w:val="22"/>
          <w:szCs w:val="22"/>
        </w:rPr>
        <w:t xml:space="preserve"> His conclusion, that the Rule functions across traditions as an invitation to a quality of moral attention rather than as a mechanical algorithm, is well-supported and compatible with the argument here. What Wattles does not pursue, and what the preceding chapters of this book make it possible to pursue, is the question of why the Rule appears with such cross-cultural persistence. The answer this book proposes is that the Rule’s pervasive presence in human moral traditions is not a coincidence of parallel cultural development. It is the impression left on human moral consciousness by the image of a God whose inner life is constituted by exactly the reflexive, mutually self-giving love that the Rule encodes.</w:t>
      </w:r>
    </w:p>
    <w:p w14:paraId="0818067B" w14:textId="77777777" w:rsidR="00D33010" w:rsidRPr="00850CC8" w:rsidRDefault="00D33010" w:rsidP="00850CC8">
      <w:pPr>
        <w:spacing w:line="276" w:lineRule="auto"/>
        <w:rPr>
          <w:rFonts w:ascii="Times New Roman" w:hAnsi="Times New Roman" w:cs="Times New Roman"/>
          <w:sz w:val="22"/>
          <w:szCs w:val="22"/>
        </w:rPr>
      </w:pPr>
    </w:p>
    <w:p w14:paraId="1CBD5329" w14:textId="77777777" w:rsidR="00D33010" w:rsidRPr="00850CC8" w:rsidRDefault="00D33010" w:rsidP="00850CC8">
      <w:pPr>
        <w:spacing w:before="480" w:after="240" w:line="276" w:lineRule="auto"/>
        <w:rPr>
          <w:rFonts w:ascii="Times New Roman" w:hAnsi="Times New Roman" w:cs="Times New Roman"/>
          <w:sz w:val="22"/>
          <w:szCs w:val="22"/>
        </w:rPr>
      </w:pPr>
      <w:r>
        <w:rPr>
          <w:rFonts w:ascii="Times New Roman" w:hAnsi="Times New Roman" w:cs="Times New Roman"/>
          <w:b/>
          <w:bCs/>
          <w:sz w:val="22"/>
          <w:szCs w:val="22"/>
        </w:rPr>
        <w:t>The Structure of “As Yourself”</w:t>
      </w:r>
    </w:p>
    <w:p w14:paraId="262C0165" w14:textId="77777777" w:rsidR="00D33010" w:rsidRPr="00850CC8" w:rsidRDefault="00D33010" w:rsidP="00850CC8">
      <w:pPr>
        <w:spacing w:line="276" w:lineRule="auto"/>
        <w:jc w:val="both"/>
        <w:rPr>
          <w:rFonts w:ascii="Times New Roman" w:hAnsi="Times New Roman" w:cs="Times New Roman"/>
          <w:sz w:val="22"/>
          <w:szCs w:val="22"/>
        </w:rPr>
      </w:pPr>
      <w:r>
        <w:rPr>
          <w:rFonts w:ascii="Times New Roman" w:hAnsi="Times New Roman" w:cs="Times New Roman"/>
          <w:sz w:val="22"/>
          <w:szCs w:val="22"/>
        </w:rPr>
        <w:t>The phrase that carries the most weight in the love commandment, and receives the least careful attention, is the two words “as yourself.” The dominant reading treats them as a comparative: love your neighbor with the same intensity, or to the same degree, as you love yourself. On this reading, self-love is the standard of measurement, and the command is to replicate that standard in your treatment of the neighbor. The neighbor deserves the same consideration you naturally extend to yourself. This reading is not wrong, but it is incomplete, and its incompleteness has consequences for how the command is understood.</w:t>
      </w:r>
    </w:p>
    <w:p w14:paraId="013E4DB2" w14:textId="77777777" w:rsidR="00D33010" w:rsidRPr="00850CC8" w:rsidRDefault="00D33010" w:rsidP="00850CC8">
      <w:pPr>
        <w:spacing w:line="276" w:lineRule="auto"/>
        <w:rPr>
          <w:rFonts w:ascii="Times New Roman" w:hAnsi="Times New Roman" w:cs="Times New Roman"/>
          <w:sz w:val="22"/>
          <w:szCs w:val="22"/>
        </w:rPr>
      </w:pPr>
    </w:p>
    <w:p w14:paraId="4E375C83" w14:textId="77777777" w:rsidR="00D33010" w:rsidRPr="00850CC8" w:rsidRDefault="00D33010"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The more precise reading, with precedent in the rabbinic tradition and support in the structure of the Greek, takes the phrase not as a comparative simile but as a structural inclusion. “As yourself” does not mean “to the same degree that you love yourself.” It means “in the same framework that includes yourself.” The self is not the standard against which neighbor-love is measured and then set aside. The self remains within the scope of the command as a proper object of moral regard alongside the neighbor.</w:t>
      </w:r>
    </w:p>
    <w:p w14:paraId="3CE4E5EF" w14:textId="77777777" w:rsidR="00D33010" w:rsidRPr="00850CC8" w:rsidRDefault="00D33010" w:rsidP="00850CC8">
      <w:pPr>
        <w:spacing w:line="276" w:lineRule="auto"/>
        <w:rPr>
          <w:rFonts w:ascii="Times New Roman" w:hAnsi="Times New Roman" w:cs="Times New Roman"/>
          <w:sz w:val="22"/>
          <w:szCs w:val="22"/>
        </w:rPr>
      </w:pPr>
    </w:p>
    <w:p w14:paraId="3455C6AF" w14:textId="77777777" w:rsidR="00D33010" w:rsidRPr="00850CC8" w:rsidRDefault="00D33010"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This reading has significant support in the way Jesus handles the command in his broader teaching. When he is asked, “Who is my neighbor?” in Luke 10:29, the answer the parable of the Good Samaritan gives is not a definition of neighbor but an expansion of the field of persons toward whom neighborly action is owed. The question assumes a bounded category; Jesus’ answer refuses the boundary. But the refusal of the boundary is not the same as the erasure of the self. The Samaritan in the parable is not described as abandoning his own needs or interests; he is described as extending to the wounded stranger the kind of attentive, resourceful care he would wish for himself in comparable circumstances.</w:t>
      </w:r>
      <w:r>
        <w:rPr>
          <w:rFonts w:ascii="Times New Roman" w:hAnsi="Times New Roman" w:cs="Times New Roman"/>
          <w:sz w:val="22"/>
          <w:szCs w:val="22"/>
          <w:vertAlign w:val="superscript"/>
        </w:rPr>
        <w:t>4</w:t>
      </w:r>
    </w:p>
    <w:p w14:paraId="59B3FEA4" w14:textId="77777777" w:rsidR="00D33010" w:rsidRPr="00850CC8" w:rsidRDefault="00D33010" w:rsidP="00850CC8">
      <w:pPr>
        <w:spacing w:line="276" w:lineRule="auto"/>
        <w:rPr>
          <w:rFonts w:ascii="Times New Roman" w:hAnsi="Times New Roman" w:cs="Times New Roman"/>
          <w:sz w:val="22"/>
          <w:szCs w:val="22"/>
        </w:rPr>
      </w:pPr>
    </w:p>
    <w:p w14:paraId="693CB5F6" w14:textId="77777777" w:rsidR="00D33010" w:rsidRPr="00850CC8" w:rsidRDefault="00D33010"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There is also a negative formulation that illuminates the positive one. Hillel’s version of the Rule, “what is hateful to you, do not do to your neighbor,” works by exactly this reflexive structure: the agent’s own experience of what is hateful provides the measure for what the neighbor must not be subjected to. The self’s experience of receiving is not a distraction from moral concern for the other. It is the source from which that concern draws its content and its measure. You know what the neighbor needs because you know what you need. The reflexive structure is not a concession to self-interest. It is the mechanism by which real moral attention to the other is made possible.</w:t>
      </w:r>
    </w:p>
    <w:p w14:paraId="591D9D25" w14:textId="77777777" w:rsidR="00D33010" w:rsidRPr="00850CC8" w:rsidRDefault="00D33010" w:rsidP="00850CC8">
      <w:pPr>
        <w:spacing w:line="276" w:lineRule="auto"/>
        <w:rPr>
          <w:rFonts w:ascii="Times New Roman" w:hAnsi="Times New Roman" w:cs="Times New Roman"/>
          <w:sz w:val="22"/>
          <w:szCs w:val="22"/>
        </w:rPr>
      </w:pPr>
    </w:p>
    <w:p w14:paraId="60227B2B" w14:textId="77777777" w:rsidR="00D33010" w:rsidRPr="00850CC8" w:rsidRDefault="00D33010"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Chapter Four introduced the term “reflective” for this quality of the moral life and noted that it corresponds to the Trinitarian pattern in which proper regard for the self and proper love of the other are not in competition but mutually constitutive. The present section develops what that observation means when applied to the specific language of the commandment. The “as yourself” is not a rhetorical flourish. It is a precise structural specification of the kind of love the command requires: a love that includes both the other and the self within its field of regard, taking the self’s experience as the measure and the other’s wellbeing as the object.</w:t>
      </w:r>
    </w:p>
    <w:p w14:paraId="25DBFB96" w14:textId="77777777" w:rsidR="00D33010" w:rsidRPr="00850CC8" w:rsidRDefault="00D33010" w:rsidP="00850CC8">
      <w:pPr>
        <w:spacing w:line="276" w:lineRule="auto"/>
        <w:rPr>
          <w:rFonts w:ascii="Times New Roman" w:hAnsi="Times New Roman" w:cs="Times New Roman"/>
          <w:sz w:val="22"/>
          <w:szCs w:val="22"/>
        </w:rPr>
      </w:pPr>
    </w:p>
    <w:p w14:paraId="034F709A" w14:textId="77777777" w:rsidR="00D33010" w:rsidRPr="00850CC8" w:rsidRDefault="00D33010" w:rsidP="00850CC8">
      <w:pPr>
        <w:spacing w:before="480" w:after="240" w:line="276" w:lineRule="auto"/>
        <w:rPr>
          <w:rFonts w:ascii="Times New Roman" w:hAnsi="Times New Roman" w:cs="Times New Roman"/>
          <w:sz w:val="22"/>
          <w:szCs w:val="22"/>
        </w:rPr>
      </w:pPr>
      <w:r>
        <w:rPr>
          <w:rFonts w:ascii="Times New Roman" w:hAnsi="Times New Roman" w:cs="Times New Roman"/>
          <w:b/>
          <w:bCs/>
          <w:sz w:val="22"/>
          <w:szCs w:val="22"/>
        </w:rPr>
        <w:t>A Description Before It Is a Prescription</w:t>
      </w:r>
    </w:p>
    <w:p w14:paraId="199F85E3" w14:textId="77777777" w:rsidR="00D33010" w:rsidRPr="00850CC8" w:rsidRDefault="00D33010" w:rsidP="00850CC8">
      <w:pPr>
        <w:spacing w:line="276" w:lineRule="auto"/>
        <w:jc w:val="both"/>
        <w:rPr>
          <w:rFonts w:ascii="Times New Roman" w:hAnsi="Times New Roman" w:cs="Times New Roman"/>
          <w:sz w:val="22"/>
          <w:szCs w:val="22"/>
        </w:rPr>
      </w:pPr>
      <w:r>
        <w:rPr>
          <w:rFonts w:ascii="Times New Roman" w:hAnsi="Times New Roman" w:cs="Times New Roman"/>
          <w:sz w:val="22"/>
          <w:szCs w:val="22"/>
        </w:rPr>
        <w:t>Chapter Two introduced what was described there as an underexplored observation: that the Golden Rule, understood in its full theological context, is a description of the inner life of the Trinity before it is a prescription for human conduct. That claim was stated briefly and set aside for development here. It is time to develop it.</w:t>
      </w:r>
    </w:p>
    <w:p w14:paraId="17E002F4" w14:textId="77777777" w:rsidR="00D33010" w:rsidRPr="00850CC8" w:rsidRDefault="00D33010" w:rsidP="00850CC8">
      <w:pPr>
        <w:spacing w:line="276" w:lineRule="auto"/>
        <w:rPr>
          <w:rFonts w:ascii="Times New Roman" w:hAnsi="Times New Roman" w:cs="Times New Roman"/>
          <w:sz w:val="22"/>
          <w:szCs w:val="22"/>
        </w:rPr>
      </w:pPr>
    </w:p>
    <w:p w14:paraId="07DDF893" w14:textId="77777777" w:rsidR="00D33010" w:rsidRPr="00850CC8" w:rsidRDefault="00D33010"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The argument begins with what the preceding chapters have established. The inner life of the Trinity is constituted by perichoretic love: the Father gives fully to the Son, the Son returns fully to the Father, and the Spirit is the love that proceeds from and rests upon them both. Each person gives to the other what they would, in the reflexive structure of that love, give to themselves. Each person receives from the other the fullness of what that love entails. The self-giving of each is not diminished by the giving but completed through it. The other is not the rival of the self but the one in whom the self is most fully realized.</w:t>
      </w:r>
    </w:p>
    <w:p w14:paraId="6995E023" w14:textId="77777777" w:rsidR="00D33010" w:rsidRPr="00850CC8" w:rsidRDefault="00D33010" w:rsidP="00850CC8">
      <w:pPr>
        <w:spacing w:line="276" w:lineRule="auto"/>
        <w:rPr>
          <w:rFonts w:ascii="Times New Roman" w:hAnsi="Times New Roman" w:cs="Times New Roman"/>
          <w:sz w:val="22"/>
          <w:szCs w:val="22"/>
        </w:rPr>
      </w:pPr>
    </w:p>
    <w:p w14:paraId="35C49C85" w14:textId="77777777" w:rsidR="00D33010" w:rsidRPr="00850CC8" w:rsidRDefault="00D33010"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This is precisely the structure the Golden Rule encodes. “Do to others what you would have them do to you” is a description of the eternal movement of the Trinitarian life: the Father gives to the Son what he would have given to himself; the Son returns to the Father what he would receive; the Spirit’s procession is itself the outgoing of a love that returns. The Rule does not describe an external standard imposed on the Trinity. It describes what the Trinity is.</w:t>
      </w:r>
    </w:p>
    <w:p w14:paraId="52B5732E" w14:textId="77777777" w:rsidR="00D33010" w:rsidRPr="00850CC8" w:rsidRDefault="00D33010" w:rsidP="00850CC8">
      <w:pPr>
        <w:spacing w:line="276" w:lineRule="auto"/>
        <w:rPr>
          <w:rFonts w:ascii="Times New Roman" w:hAnsi="Times New Roman" w:cs="Times New Roman"/>
          <w:sz w:val="22"/>
          <w:szCs w:val="22"/>
        </w:rPr>
      </w:pPr>
    </w:p>
    <w:p w14:paraId="161095E3" w14:textId="77777777" w:rsidR="00D33010" w:rsidRPr="00850CC8" w:rsidRDefault="00D33010"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When God commands this structure of his image-bearing creatures, he is not inventing a novel requirement. He is extending to creatures the invitation to participate in the pattern that constitutes his own eternal life. The moral life, understood in this way, is not a set of obligations laid on creatures who would otherwise be free from them. It is the shape of a participation: the life of persons made in the image of the relational God, being drawn, in the Spirit, into the pattern of mutual self-giving love that is the ground of all reality.</w:t>
      </w:r>
    </w:p>
    <w:p w14:paraId="1552E7B4" w14:textId="77777777" w:rsidR="00D33010" w:rsidRPr="00850CC8" w:rsidRDefault="00D33010" w:rsidP="00850CC8">
      <w:pPr>
        <w:spacing w:line="276" w:lineRule="auto"/>
        <w:rPr>
          <w:rFonts w:ascii="Times New Roman" w:hAnsi="Times New Roman" w:cs="Times New Roman"/>
          <w:sz w:val="22"/>
          <w:szCs w:val="22"/>
        </w:rPr>
      </w:pPr>
    </w:p>
    <w:p w14:paraId="288FADBF" w14:textId="77777777" w:rsidR="00D33010" w:rsidRPr="00850CC8" w:rsidRDefault="00D33010"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 xml:space="preserve">This is the point at which Oliver O’Donovan’s account of the relationship between creation and ethics becomes directly relevant. O’Donovan’s central argument in </w:t>
      </w:r>
      <w:r>
        <w:rPr>
          <w:rFonts w:ascii="Times New Roman" w:hAnsi="Times New Roman" w:cs="Times New Roman"/>
          <w:i/>
          <w:iCs/>
          <w:sz w:val="22"/>
          <w:szCs w:val="22"/>
        </w:rPr>
        <w:t>Resurrection and Moral Order</w:t>
      </w:r>
      <w:r>
        <w:rPr>
          <w:rFonts w:ascii="Times New Roman" w:hAnsi="Times New Roman" w:cs="Times New Roman"/>
          <w:sz w:val="22"/>
          <w:szCs w:val="22"/>
        </w:rPr>
        <w:t xml:space="preserve"> is that moral obligation is grounded in the order of creation: the commands of God are not arbitrary impositions but descriptions of the created order as it is meant to be, an order that the resurrection of Christ has confirmed and renewed.</w:t>
      </w:r>
      <w:r>
        <w:rPr>
          <w:rFonts w:ascii="Times New Roman" w:hAnsi="Times New Roman" w:cs="Times New Roman"/>
          <w:sz w:val="22"/>
          <w:szCs w:val="22"/>
          <w:vertAlign w:val="superscript"/>
        </w:rPr>
        <w:t>5</w:t>
      </w:r>
      <w:r>
        <w:rPr>
          <w:rFonts w:ascii="Times New Roman" w:hAnsi="Times New Roman" w:cs="Times New Roman"/>
          <w:sz w:val="22"/>
          <w:szCs w:val="22"/>
        </w:rPr>
        <w:t xml:space="preserve"> The argument of the present book is consistent with O’Donovan’s but presses further back: the created order that grounds moral obligation is itself an expression of the Trinitarian life, the free self-giving of the triune God extended into creaturely existence. The moral order of creation is not a free-standing structure that could in principle exist without the God who made it. It is a participation in the relational structure of the divine life.</w:t>
      </w:r>
    </w:p>
    <w:p w14:paraId="2B094B8F" w14:textId="77777777" w:rsidR="00D33010" w:rsidRPr="00850CC8" w:rsidRDefault="00D33010" w:rsidP="00850CC8">
      <w:pPr>
        <w:spacing w:line="276" w:lineRule="auto"/>
        <w:rPr>
          <w:rFonts w:ascii="Times New Roman" w:hAnsi="Times New Roman" w:cs="Times New Roman"/>
          <w:sz w:val="22"/>
          <w:szCs w:val="22"/>
        </w:rPr>
      </w:pPr>
    </w:p>
    <w:p w14:paraId="1EA47841" w14:textId="77777777" w:rsidR="00D33010" w:rsidRPr="00850CC8" w:rsidRDefault="00D33010"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The practical consequence of this is important. If the two great commandments and the Golden Rule are not primarily obligations imposed on creatures from outside but descriptions of the life they were made to live, then the person who fulfills them is not submitting to an alien demand. They are living most fully in accordance with their own nature as image-bearing creatures. And the person who violates them is not merely breaking a rule. They are living against the grain of what they are.</w:t>
      </w:r>
    </w:p>
    <w:p w14:paraId="26A61E25" w14:textId="77777777" w:rsidR="00D33010" w:rsidRPr="00850CC8" w:rsidRDefault="00D33010" w:rsidP="00850CC8">
      <w:pPr>
        <w:spacing w:line="276" w:lineRule="auto"/>
        <w:rPr>
          <w:rFonts w:ascii="Times New Roman" w:hAnsi="Times New Roman" w:cs="Times New Roman"/>
          <w:sz w:val="22"/>
          <w:szCs w:val="22"/>
        </w:rPr>
      </w:pPr>
    </w:p>
    <w:p w14:paraId="4DDF44B0" w14:textId="77777777" w:rsidR="00D33010" w:rsidRPr="00850CC8" w:rsidRDefault="00D33010" w:rsidP="00850CC8">
      <w:pPr>
        <w:spacing w:before="480" w:after="240" w:line="276" w:lineRule="auto"/>
        <w:rPr>
          <w:rFonts w:ascii="Times New Roman" w:hAnsi="Times New Roman" w:cs="Times New Roman"/>
          <w:sz w:val="22"/>
          <w:szCs w:val="22"/>
        </w:rPr>
      </w:pPr>
      <w:r>
        <w:rPr>
          <w:rFonts w:ascii="Times New Roman" w:hAnsi="Times New Roman" w:cs="Times New Roman"/>
          <w:b/>
          <w:bCs/>
          <w:sz w:val="22"/>
          <w:szCs w:val="22"/>
        </w:rPr>
        <w:t>The Indicative and the Imperative</w:t>
      </w:r>
    </w:p>
    <w:p w14:paraId="095AE636" w14:textId="77777777" w:rsidR="00D33010" w:rsidRPr="00850CC8" w:rsidRDefault="00D33010" w:rsidP="00850CC8">
      <w:pPr>
        <w:spacing w:line="276" w:lineRule="auto"/>
        <w:jc w:val="both"/>
        <w:rPr>
          <w:rFonts w:ascii="Times New Roman" w:hAnsi="Times New Roman" w:cs="Times New Roman"/>
          <w:sz w:val="22"/>
          <w:szCs w:val="22"/>
        </w:rPr>
      </w:pPr>
      <w:r>
        <w:rPr>
          <w:rFonts w:ascii="Times New Roman" w:hAnsi="Times New Roman" w:cs="Times New Roman"/>
          <w:sz w:val="22"/>
          <w:szCs w:val="22"/>
        </w:rPr>
        <w:t>There is a pattern in the New Testament’s handling of moral instruction that is easy to overlook but, once noticed, reshapes the way the whole of Christian ethics is understood. It is the pattern of indicative followed by imperative: the statement of what God has done, followed by the instruction about what we are therefore to do. The pattern appears throughout the Pauline letters. Romans 12:1 opens with “therefore,” pointing back to the long theological argument of the preceding chapters. Ephesians 4:1 calls the reader to walk “worthy of the calling” they have already received. Colossians 3:1 begins “if then you have been raised with Christ,” and the ethical instruction follows from that condition.</w:t>
      </w:r>
    </w:p>
    <w:p w14:paraId="7F3E6A06" w14:textId="77777777" w:rsidR="00D33010" w:rsidRPr="00850CC8" w:rsidRDefault="00D33010" w:rsidP="00850CC8">
      <w:pPr>
        <w:spacing w:line="276" w:lineRule="auto"/>
        <w:rPr>
          <w:rFonts w:ascii="Times New Roman" w:hAnsi="Times New Roman" w:cs="Times New Roman"/>
          <w:sz w:val="22"/>
          <w:szCs w:val="22"/>
        </w:rPr>
      </w:pPr>
    </w:p>
    <w:p w14:paraId="1876622A" w14:textId="77777777" w:rsidR="00D33010" w:rsidRPr="00850CC8" w:rsidRDefault="00D33010"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The pattern is not merely rhetorical. It reflects a theological conviction about the relationship between the gospel and the moral life: that what God has done in Christ is not simply the occasion for moral effort but the ground and enabling condition of it. Paul does not say “be transformed so that you can receive mercy.” He says “present your bodies as a living sacrifice” in view of mercies already received (Romans 12:1). The imperative rests on the indicative. The obligation flows from the gift.</w:t>
      </w:r>
      <w:r>
        <w:rPr>
          <w:rFonts w:ascii="Times New Roman" w:hAnsi="Times New Roman" w:cs="Times New Roman"/>
          <w:sz w:val="22"/>
          <w:szCs w:val="22"/>
          <w:vertAlign w:val="superscript"/>
        </w:rPr>
        <w:t>6</w:t>
      </w:r>
    </w:p>
    <w:p w14:paraId="10A0B403" w14:textId="77777777" w:rsidR="00D33010" w:rsidRPr="00850CC8" w:rsidRDefault="00D33010" w:rsidP="00850CC8">
      <w:pPr>
        <w:spacing w:line="276" w:lineRule="auto"/>
        <w:rPr>
          <w:rFonts w:ascii="Times New Roman" w:hAnsi="Times New Roman" w:cs="Times New Roman"/>
          <w:sz w:val="22"/>
          <w:szCs w:val="22"/>
        </w:rPr>
      </w:pPr>
    </w:p>
    <w:p w14:paraId="002686E6" w14:textId="77777777" w:rsidR="00D33010" w:rsidRPr="00850CC8" w:rsidRDefault="00D33010"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The First Letter of John makes this logic explicit at the level of the love commandment itself. “We love because he first loved us” (1 John 4:19). The sentence is strikingly economical. It says nothing about how much we are to love, or who we are to love, or what love in practice requires. It identifies the source of the love that constitutes the moral life: a prior love, already given, already at work before we arrived on the scene. Our love does not originate with us. It is a response to a love that precedes it. It is, in the precise sense developed throughout this book, the answering love of creatures who have been loved first.</w:t>
      </w:r>
    </w:p>
    <w:p w14:paraId="6111D4AF" w14:textId="77777777" w:rsidR="00D33010" w:rsidRPr="00850CC8" w:rsidRDefault="00D33010" w:rsidP="00850CC8">
      <w:pPr>
        <w:spacing w:line="276" w:lineRule="auto"/>
        <w:rPr>
          <w:rFonts w:ascii="Times New Roman" w:hAnsi="Times New Roman" w:cs="Times New Roman"/>
          <w:sz w:val="22"/>
          <w:szCs w:val="22"/>
        </w:rPr>
      </w:pPr>
    </w:p>
    <w:p w14:paraId="04192116" w14:textId="77777777" w:rsidR="00D33010" w:rsidRPr="00850CC8" w:rsidRDefault="00D33010"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 xml:space="preserve">This indicative-imperative structure is not unique to Paul or to the Johannine tradition. It is the structure of the covenant itself. “I am the Lord your God, who brought you out of the land of Egypt, out of the house of slavery. You shall have no other gods before me” (Exodus 20:2–3). The imperative of the </w:t>
        <w:lastRenderedPageBreak/>
        <w:t>Decalogue rests on the indicative of the exodus. The obligations of the covenant follow from the prior act of redemption that constituted the covenant relationship. Israel does not earn the exodus by keeping the commandments. The commandments describe the shape of life appropriate to a people who have already been redeemed.</w:t>
      </w:r>
    </w:p>
    <w:p w14:paraId="5316ECE2" w14:textId="77777777" w:rsidR="00D33010" w:rsidRPr="00850CC8" w:rsidRDefault="00D33010" w:rsidP="00850CC8">
      <w:pPr>
        <w:spacing w:line="276" w:lineRule="auto"/>
        <w:rPr>
          <w:rFonts w:ascii="Times New Roman" w:hAnsi="Times New Roman" w:cs="Times New Roman"/>
          <w:sz w:val="22"/>
          <w:szCs w:val="22"/>
        </w:rPr>
      </w:pPr>
    </w:p>
    <w:p w14:paraId="318A742B" w14:textId="77777777" w:rsidR="00D33010" w:rsidRPr="00850CC8" w:rsidRDefault="00D33010"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The ethical significance of this pattern is considerable, and it connects directly to the argument of Chapter Three about obligation as the shape of a vocation. If moral life is structured by the indicative-imperative logic, then the primary posture of the person living that life is not striving but receiving. The moral life begins with the recognition that one has been loved, redeemed, and made in the image of a God whose inner life is the pattern one is called to reflect. The obligations that follow from this recognition are real and weighty. But they are obligations that flow from a prior gift, not conditions that must be met in order to obtain one.</w:t>
      </w:r>
    </w:p>
    <w:p w14:paraId="279755D6" w14:textId="77777777" w:rsidR="00D33010" w:rsidRPr="00850CC8" w:rsidRDefault="00D33010" w:rsidP="00850CC8">
      <w:pPr>
        <w:spacing w:line="276" w:lineRule="auto"/>
        <w:rPr>
          <w:rFonts w:ascii="Times New Roman" w:hAnsi="Times New Roman" w:cs="Times New Roman"/>
          <w:sz w:val="22"/>
          <w:szCs w:val="22"/>
        </w:rPr>
      </w:pPr>
    </w:p>
    <w:p w14:paraId="73C4BFC4" w14:textId="77777777" w:rsidR="00D33010" w:rsidRPr="00850CC8" w:rsidRDefault="00D33010"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This is what distinguishes the Christian account of the love commandment from a formally similar account that lacks the Trinitarian and redemptive grounding. A command to love the neighbor can be derived, as Kant showed, from the structure of rational agency, or as the utilitarians showed, from the equal moral weight of all persons’ welfare. What neither of these derivations can supply is the indicative that makes the imperative possible: the prior love that enables the response, the redemption that creates the community of the redeemed, the Spirit that conforms the image-bearer to the pattern of the true image-bearer. Without the indicative, the imperative stands alone, and the moral life becomes, at best, an arduous discipline and, at worst, a counsel of despair.</w:t>
      </w:r>
      <w:r>
        <w:rPr>
          <w:rFonts w:ascii="Times New Roman" w:hAnsi="Times New Roman" w:cs="Times New Roman"/>
          <w:sz w:val="22"/>
          <w:szCs w:val="22"/>
          <w:vertAlign w:val="superscript"/>
        </w:rPr>
        <w:t>7</w:t>
      </w:r>
    </w:p>
    <w:p w14:paraId="5DFDB7EA" w14:textId="77777777" w:rsidR="00D33010" w:rsidRPr="00850CC8" w:rsidRDefault="00D33010" w:rsidP="00850CC8">
      <w:pPr>
        <w:spacing w:line="276" w:lineRule="auto"/>
        <w:rPr>
          <w:rFonts w:ascii="Times New Roman" w:hAnsi="Times New Roman" w:cs="Times New Roman"/>
          <w:sz w:val="22"/>
          <w:szCs w:val="22"/>
        </w:rPr>
      </w:pPr>
    </w:p>
    <w:p w14:paraId="698573A2" w14:textId="77777777" w:rsidR="00D33010" w:rsidRPr="00850CC8" w:rsidRDefault="00D33010" w:rsidP="00850CC8">
      <w:pPr>
        <w:spacing w:before="480" w:after="240" w:line="276" w:lineRule="auto"/>
        <w:rPr>
          <w:rFonts w:ascii="Times New Roman" w:hAnsi="Times New Roman" w:cs="Times New Roman"/>
          <w:sz w:val="22"/>
          <w:szCs w:val="22"/>
        </w:rPr>
      </w:pPr>
      <w:r>
        <w:rPr>
          <w:rFonts w:ascii="Times New Roman" w:hAnsi="Times New Roman" w:cs="Times New Roman"/>
          <w:b/>
          <w:bCs/>
          <w:sz w:val="22"/>
          <w:szCs w:val="22"/>
        </w:rPr>
        <w:t>The Two Commandments and the Golden Rule Together</w:t>
      </w:r>
    </w:p>
    <w:p w14:paraId="3FB1EFB5" w14:textId="77777777" w:rsidR="00D33010" w:rsidRPr="00850CC8" w:rsidRDefault="00D33010" w:rsidP="00850CC8">
      <w:pPr>
        <w:spacing w:line="276" w:lineRule="auto"/>
        <w:jc w:val="both"/>
        <w:rPr>
          <w:rFonts w:ascii="Times New Roman" w:hAnsi="Times New Roman" w:cs="Times New Roman"/>
          <w:sz w:val="22"/>
          <w:szCs w:val="22"/>
        </w:rPr>
      </w:pPr>
      <w:r>
        <w:rPr>
          <w:rFonts w:ascii="Times New Roman" w:hAnsi="Times New Roman" w:cs="Times New Roman"/>
          <w:sz w:val="22"/>
          <w:szCs w:val="22"/>
        </w:rPr>
        <w:t>It is worth pausing to draw together the argument of this chapter before moving on, because the three formulations that have been examined, the two great commandments and the Golden Rule, are easy to treat as three separate items when they are in fact three angles of vision on a single reality.</w:t>
      </w:r>
    </w:p>
    <w:p w14:paraId="2845D523" w14:textId="77777777" w:rsidR="00D33010" w:rsidRPr="00850CC8" w:rsidRDefault="00D33010" w:rsidP="00850CC8">
      <w:pPr>
        <w:spacing w:line="276" w:lineRule="auto"/>
        <w:rPr>
          <w:rFonts w:ascii="Times New Roman" w:hAnsi="Times New Roman" w:cs="Times New Roman"/>
          <w:sz w:val="22"/>
          <w:szCs w:val="22"/>
        </w:rPr>
      </w:pPr>
    </w:p>
    <w:p w14:paraId="1A0E6626" w14:textId="77777777" w:rsidR="00D33010" w:rsidRPr="00850CC8" w:rsidRDefault="00D33010"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The two great commandments identify the direction of love: toward God with the whole self, and toward the neighbor as oneself. They tell us that moral life is oriented in two directions simultaneously, and that these two directions are not competing orientations but two expressions of the same love moving in different registers. The vertical and horizontal dimensions of the moral life are not two separate domains between which the moral agent must divide their attention. They are two aspects of a single act of love that cannot be fully accomplished in either direction without being accomplished in both.</w:t>
      </w:r>
    </w:p>
    <w:p w14:paraId="35718FC1" w14:textId="77777777" w:rsidR="00D33010" w:rsidRPr="00850CC8" w:rsidRDefault="00D33010" w:rsidP="00850CC8">
      <w:pPr>
        <w:spacing w:line="276" w:lineRule="auto"/>
        <w:rPr>
          <w:rFonts w:ascii="Times New Roman" w:hAnsi="Times New Roman" w:cs="Times New Roman"/>
          <w:sz w:val="22"/>
          <w:szCs w:val="22"/>
        </w:rPr>
      </w:pPr>
    </w:p>
    <w:p w14:paraId="60A4B1AF" w14:textId="77777777" w:rsidR="00D33010" w:rsidRPr="00850CC8" w:rsidRDefault="00D33010"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The Golden Rule identifies the structure of that love: it is reflexive. The agent’s own experience of receiving good treatment is the normative measure for what the neighbor is owed. The self is not the rival of the neighbor but the measure of what the neighbor requires. The love that the Rule commands is not self-abnegating in the sense of erasing the self from moral consideration. It is self-involving: it draws on the self’s experience of what love, care, and just treatment feel like to understand what the neighbor needs.</w:t>
      </w:r>
    </w:p>
    <w:p w14:paraId="294166DC" w14:textId="77777777" w:rsidR="00D33010" w:rsidRPr="00850CC8" w:rsidRDefault="00D33010" w:rsidP="00850CC8">
      <w:pPr>
        <w:spacing w:line="276" w:lineRule="auto"/>
        <w:rPr>
          <w:rFonts w:ascii="Times New Roman" w:hAnsi="Times New Roman" w:cs="Times New Roman"/>
          <w:sz w:val="22"/>
          <w:szCs w:val="22"/>
        </w:rPr>
      </w:pPr>
    </w:p>
    <w:p w14:paraId="4D13C90F" w14:textId="77777777" w:rsidR="00D33010" w:rsidRPr="00850CC8" w:rsidRDefault="00D33010"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 xml:space="preserve">The indicative-imperative pattern identifies the source of that love: it is responsive rather than compelled. We love because we have been loved. The moral life is not something we generate from our </w:t>
        <w:lastRenderedPageBreak/>
        <w:t>own moral resources. It is a participation in a love that precedes us, that was already at work before we arrived on the scene, that constitutes the eternal life of the God in whose image we are made.</w:t>
      </w:r>
    </w:p>
    <w:p w14:paraId="0B1514B3" w14:textId="77777777" w:rsidR="00D33010" w:rsidRPr="00850CC8" w:rsidRDefault="00D33010" w:rsidP="00850CC8">
      <w:pPr>
        <w:spacing w:line="276" w:lineRule="auto"/>
        <w:rPr>
          <w:rFonts w:ascii="Times New Roman" w:hAnsi="Times New Roman" w:cs="Times New Roman"/>
          <w:sz w:val="22"/>
          <w:szCs w:val="22"/>
        </w:rPr>
      </w:pPr>
    </w:p>
    <w:p w14:paraId="42C7DF1C" w14:textId="77777777" w:rsidR="00D33010" w:rsidRPr="00850CC8" w:rsidRDefault="00D33010"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These three aspects, direction, structure, and source, are not three independent features of the love commandment. They are three dimensions of the single claim that runs through this book: that the moral life is the responsive participation of creatures in the prior love of the God whose image they bear. The direction of love reflects the two-directional movement of the Trinitarian life: toward the other and toward the source from which the other comes. The structure of love reflects the reflexive pattern of perichoretic self-giving in which each person of the Trinity gives to the others what they would have given to themselves. The source of love reflects the truth that our love is not self-generated but responsive, drawn out by a prior love that was already complete before we were made.</w:t>
      </w:r>
    </w:p>
    <w:p w14:paraId="08C704F9" w14:textId="77777777" w:rsidR="00D33010" w:rsidRPr="00850CC8" w:rsidRDefault="00D33010" w:rsidP="00850CC8">
      <w:pPr>
        <w:spacing w:line="276" w:lineRule="auto"/>
        <w:rPr>
          <w:rFonts w:ascii="Times New Roman" w:hAnsi="Times New Roman" w:cs="Times New Roman"/>
          <w:sz w:val="22"/>
          <w:szCs w:val="22"/>
        </w:rPr>
      </w:pPr>
    </w:p>
    <w:p w14:paraId="56168917" w14:textId="77777777" w:rsidR="00D33010" w:rsidRPr="00850CC8" w:rsidRDefault="00D33010" w:rsidP="00850CC8">
      <w:pPr>
        <w:spacing w:before="480" w:after="240" w:line="276" w:lineRule="auto"/>
        <w:rPr>
          <w:rFonts w:ascii="Times New Roman" w:hAnsi="Times New Roman" w:cs="Times New Roman"/>
          <w:sz w:val="22"/>
          <w:szCs w:val="22"/>
        </w:rPr>
      </w:pPr>
      <w:r>
        <w:rPr>
          <w:rFonts w:ascii="Times New Roman" w:hAnsi="Times New Roman" w:cs="Times New Roman"/>
          <w:b/>
          <w:bCs/>
          <w:sz w:val="22"/>
          <w:szCs w:val="22"/>
        </w:rPr>
        <w:t>What This Means for the Moral Life</w:t>
      </w:r>
    </w:p>
    <w:p w14:paraId="39961FE2" w14:textId="77777777" w:rsidR="00D33010" w:rsidRPr="00850CC8" w:rsidRDefault="00D33010" w:rsidP="00850CC8">
      <w:pPr>
        <w:spacing w:line="276" w:lineRule="auto"/>
        <w:jc w:val="both"/>
        <w:rPr>
          <w:rFonts w:ascii="Times New Roman" w:hAnsi="Times New Roman" w:cs="Times New Roman"/>
          <w:sz w:val="22"/>
          <w:szCs w:val="22"/>
        </w:rPr>
      </w:pPr>
      <w:r>
        <w:rPr>
          <w:rFonts w:ascii="Times New Roman" w:hAnsi="Times New Roman" w:cs="Times New Roman"/>
          <w:sz w:val="22"/>
          <w:szCs w:val="22"/>
        </w:rPr>
        <w:t>A person who has grasped what the two great commandments and the Golden Rule are actually saying has understood something important about the shape of the moral life, something that most ethical theories, even good ones, tend to miss or understate.</w:t>
      </w:r>
    </w:p>
    <w:p w14:paraId="4F51E37D" w14:textId="77777777" w:rsidR="00D33010" w:rsidRPr="00850CC8" w:rsidRDefault="00D33010" w:rsidP="00850CC8">
      <w:pPr>
        <w:spacing w:line="276" w:lineRule="auto"/>
        <w:rPr>
          <w:rFonts w:ascii="Times New Roman" w:hAnsi="Times New Roman" w:cs="Times New Roman"/>
          <w:sz w:val="22"/>
          <w:szCs w:val="22"/>
        </w:rPr>
      </w:pPr>
    </w:p>
    <w:p w14:paraId="139109B4" w14:textId="77777777" w:rsidR="00D33010" w:rsidRPr="00850CC8" w:rsidRDefault="00D33010"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They have understood that the moral life is not primarily about compliance. It is about correspondence: the correspondence of the creature’s life to the character of the God whose image the creature bears. The commandments do not describe an arbitrary standard imposed from outside. They describe the shape of a life lived from the inside of what it means to be the kind of creature God had in mind.</w:t>
      </w:r>
    </w:p>
    <w:p w14:paraId="3E2E0952" w14:textId="77777777" w:rsidR="00D33010" w:rsidRPr="00850CC8" w:rsidRDefault="00D33010" w:rsidP="00850CC8">
      <w:pPr>
        <w:spacing w:line="276" w:lineRule="auto"/>
        <w:rPr>
          <w:rFonts w:ascii="Times New Roman" w:hAnsi="Times New Roman" w:cs="Times New Roman"/>
          <w:sz w:val="22"/>
          <w:szCs w:val="22"/>
        </w:rPr>
      </w:pPr>
    </w:p>
    <w:p w14:paraId="07285AD8" w14:textId="77777777" w:rsidR="00D33010" w:rsidRPr="00850CC8" w:rsidRDefault="00D33010"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They have understood that the love the commandments require is not divided between its vertical and horizontal dimensions. To love God truly is to love what God loves, which includes the neighbor made in his image. To love the neighbor truly is to love them as one who bears the image of the God one loves. The two loves are not competitors for the same moral energy. They are two movements of a love that is, at its source, single.</w:t>
      </w:r>
    </w:p>
    <w:p w14:paraId="3231D1F5" w14:textId="77777777" w:rsidR="00D33010" w:rsidRPr="00850CC8" w:rsidRDefault="00D33010" w:rsidP="00850CC8">
      <w:pPr>
        <w:spacing w:line="276" w:lineRule="auto"/>
        <w:rPr>
          <w:rFonts w:ascii="Times New Roman" w:hAnsi="Times New Roman" w:cs="Times New Roman"/>
          <w:sz w:val="22"/>
          <w:szCs w:val="22"/>
        </w:rPr>
      </w:pPr>
    </w:p>
    <w:p w14:paraId="3C507467" w14:textId="77777777" w:rsidR="00D33010" w:rsidRPr="00850CC8" w:rsidRDefault="00D33010"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They have understood that the self is not the obstacle to the moral life but the instrument of it. The “as yourself” of the commandment is not a concession to natural self-regard. It is a structural specification of the kind of love that is required: the love that knows, from the inside, what the neighbor needs, because it knows what it itself needs, and extends to the neighbor the same attentive care it would wish to receive.</w:t>
      </w:r>
    </w:p>
    <w:p w14:paraId="758E696F" w14:textId="77777777" w:rsidR="00D33010" w:rsidRPr="00850CC8" w:rsidRDefault="00D33010" w:rsidP="00850CC8">
      <w:pPr>
        <w:spacing w:line="276" w:lineRule="auto"/>
        <w:rPr>
          <w:rFonts w:ascii="Times New Roman" w:hAnsi="Times New Roman" w:cs="Times New Roman"/>
          <w:sz w:val="22"/>
          <w:szCs w:val="22"/>
        </w:rPr>
      </w:pPr>
    </w:p>
    <w:p w14:paraId="736FB53E" w14:textId="77777777" w:rsidR="00D33010" w:rsidRPr="00850CC8" w:rsidRDefault="00D33010"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And they have understood that the moral life begins not with effort but with reception: the reception of a love that was given before it was asked for, that constitutes the relationship within which all moral obligation arises, and that is not the reward for moral success but its enabling condition.</w:t>
      </w:r>
    </w:p>
    <w:p w14:paraId="1F88F759" w14:textId="77777777" w:rsidR="00D33010" w:rsidRPr="00850CC8" w:rsidRDefault="00D33010" w:rsidP="00850CC8">
      <w:pPr>
        <w:spacing w:line="276" w:lineRule="auto"/>
        <w:rPr>
          <w:rFonts w:ascii="Times New Roman" w:hAnsi="Times New Roman" w:cs="Times New Roman"/>
          <w:sz w:val="22"/>
          <w:szCs w:val="22"/>
        </w:rPr>
      </w:pPr>
    </w:p>
    <w:p w14:paraId="6485D37E" w14:textId="77777777" w:rsidR="00D33010" w:rsidRPr="00850CC8" w:rsidRDefault="00D33010"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 xml:space="preserve">The chapters that follow will test this framework against the harder cases: the biblical narratives in which the relational logic of love is worked out in conditions of conflict, violence, and the long patience of a God who waits for his creatures to turn before he acts. Those narratives are not exceptions to the grammar </w:t>
        <w:lastRenderedPageBreak/>
        <w:t>of love described in this chapter. They are its application, in the particular and often painful texture of actual history, to the conditions that creatures who have distorted the image actually inhabit.</w:t>
      </w:r>
    </w:p>
    <w:p w14:paraId="7D0F7185" w14:textId="77777777" w:rsidR="00D33010" w:rsidRPr="00850CC8" w:rsidRDefault="00D33010" w:rsidP="00850CC8">
      <w:pPr>
        <w:spacing w:line="276" w:lineRule="auto"/>
        <w:rPr>
          <w:rFonts w:ascii="Times New Roman" w:hAnsi="Times New Roman" w:cs="Times New Roman"/>
          <w:sz w:val="22"/>
          <w:szCs w:val="22"/>
        </w:rPr>
      </w:pPr>
    </w:p>
    <w:p w14:paraId="5482F8F8" w14:textId="77777777" w:rsidR="00D33010" w:rsidRPr="00850CC8" w:rsidRDefault="00D33010" w:rsidP="00850CC8">
      <w:pPr>
        <w:spacing w:line="276" w:lineRule="auto"/>
        <w:rPr>
          <w:rFonts w:ascii="Times New Roman" w:hAnsi="Times New Roman" w:cs="Times New Roman"/>
          <w:sz w:val="22"/>
          <w:szCs w:val="22"/>
        </w:rPr>
      </w:pPr>
    </w:p>
    <w:p w14:paraId="3F963376" w14:textId="77777777" w:rsidR="00D33010" w:rsidRPr="00850CC8" w:rsidRDefault="00D33010" w:rsidP="00850CC8">
      <w:pPr>
        <w:spacing w:before="480" w:after="240" w:line="276" w:lineRule="auto"/>
        <w:rPr>
          <w:rFonts w:ascii="Times New Roman" w:hAnsi="Times New Roman" w:cs="Times New Roman"/>
          <w:sz w:val="22"/>
          <w:szCs w:val="22"/>
        </w:rPr>
      </w:pPr>
      <w:r>
        <w:rPr>
          <w:rFonts w:ascii="Times New Roman" w:hAnsi="Times New Roman" w:cs="Times New Roman"/>
          <w:b/>
          <w:bCs/>
          <w:sz w:val="22"/>
          <w:szCs w:val="22"/>
        </w:rPr>
        <w:t>Notes</w:t>
      </w:r>
    </w:p>
    <w:p w14:paraId="004108E4" w14:textId="77777777" w:rsidR="00D33010" w:rsidRPr="00850CC8" w:rsidRDefault="00D33010" w:rsidP="00850CC8">
      <w:pPr>
        <w:spacing w:before="120" w:line="276" w:lineRule="auto"/>
        <w:ind w:firstLine="720"/>
        <w:jc w:val="both"/>
        <w:rPr>
          <w:rFonts w:ascii="Times New Roman" w:hAnsi="Times New Roman" w:cs="Times New Roman"/>
          <w:sz w:val="22"/>
          <w:szCs w:val="22"/>
        </w:rPr>
      </w:pPr>
      <w:r>
        <w:rPr>
          <w:rFonts w:ascii="Times New Roman" w:hAnsi="Times New Roman" w:cs="Times New Roman"/>
          <w:sz w:val="22"/>
          <w:szCs w:val="22"/>
        </w:rPr>
        <w:t xml:space="preserve">1. The argument of 1 John 4:19–21 is that the love of God and the love of the brother are not two separate obligations but a single reality that cannot be divided without being destroyed. For a careful exegetical treatment, see I. Howard Marshall, </w:t>
      </w:r>
      <w:r>
        <w:rPr>
          <w:rFonts w:ascii="Times New Roman" w:hAnsi="Times New Roman" w:cs="Times New Roman"/>
          <w:i/>
          <w:iCs/>
          <w:sz w:val="22"/>
          <w:szCs w:val="22"/>
        </w:rPr>
        <w:t>The Epistles of John</w:t>
      </w:r>
      <w:r>
        <w:rPr>
          <w:rFonts w:ascii="Times New Roman" w:hAnsi="Times New Roman" w:cs="Times New Roman"/>
          <w:sz w:val="22"/>
          <w:szCs w:val="22"/>
        </w:rPr>
        <w:t xml:space="preserve">, New International Commentary on the New Testament (Grand Rapids: Eerdmans, 1978), 223–228. For the theological development of the same point, see Thomas Aquinas, </w:t>
      </w:r>
      <w:r>
        <w:rPr>
          <w:rFonts w:ascii="Times New Roman" w:hAnsi="Times New Roman" w:cs="Times New Roman"/>
          <w:i/>
          <w:iCs/>
          <w:sz w:val="22"/>
          <w:szCs w:val="22"/>
        </w:rPr>
        <w:t>Summa Theologiae</w:t>
      </w:r>
      <w:r>
        <w:rPr>
          <w:rFonts w:ascii="Times New Roman" w:hAnsi="Times New Roman" w:cs="Times New Roman"/>
          <w:sz w:val="22"/>
          <w:szCs w:val="22"/>
        </w:rPr>
        <w:t xml:space="preserve"> II–II, q. 25, aa. 1–2, where Aquinas argues that charity toward God and charity toward neighbor are acts of the same virtue, since the neighbor is loved in God and for God’s sake.</w:t>
      </w:r>
    </w:p>
    <w:p w14:paraId="59FED031" w14:textId="77777777" w:rsidR="00D33010" w:rsidRPr="00850CC8" w:rsidRDefault="00D33010" w:rsidP="00850CC8">
      <w:pPr>
        <w:spacing w:line="276" w:lineRule="auto"/>
        <w:rPr>
          <w:rFonts w:ascii="Times New Roman" w:hAnsi="Times New Roman" w:cs="Times New Roman"/>
          <w:sz w:val="22"/>
          <w:szCs w:val="22"/>
        </w:rPr>
      </w:pPr>
    </w:p>
    <w:p w14:paraId="1F85DEF1" w14:textId="77777777" w:rsidR="00D33010" w:rsidRPr="00850CC8" w:rsidRDefault="00D33010" w:rsidP="00850CC8">
      <w:pPr>
        <w:spacing w:before="120" w:line="276" w:lineRule="auto"/>
        <w:ind w:firstLine="720"/>
        <w:jc w:val="both"/>
        <w:rPr>
          <w:rFonts w:ascii="Times New Roman" w:hAnsi="Times New Roman" w:cs="Times New Roman"/>
          <w:sz w:val="22"/>
          <w:szCs w:val="22"/>
        </w:rPr>
      </w:pPr>
      <w:r>
        <w:rPr>
          <w:rFonts w:ascii="Times New Roman" w:hAnsi="Times New Roman" w:cs="Times New Roman"/>
          <w:sz w:val="22"/>
          <w:szCs w:val="22"/>
        </w:rPr>
        <w:t xml:space="preserve">2. Victor Paul Furnish, </w:t>
      </w:r>
      <w:r>
        <w:rPr>
          <w:rFonts w:ascii="Times New Roman" w:hAnsi="Times New Roman" w:cs="Times New Roman"/>
          <w:i/>
          <w:iCs/>
          <w:sz w:val="22"/>
          <w:szCs w:val="22"/>
        </w:rPr>
        <w:t>The Love Command in the New Testament</w:t>
      </w:r>
      <w:r>
        <w:rPr>
          <w:rFonts w:ascii="Times New Roman" w:hAnsi="Times New Roman" w:cs="Times New Roman"/>
          <w:sz w:val="22"/>
          <w:szCs w:val="22"/>
        </w:rPr>
        <w:t xml:space="preserve"> (Nashville: Abingdon, 1972), 54–59. Furnish’s study remains one of the most careful treatments of the love commandment across the New Testament corpus. His argument that Paul’s ethics is fundamentally shaped by the love commandment is developed throughout chapters two and three. For a more recent treatment that extends and qualifies Furnish’s conclusions, see Michael J. Gorman, </w:t>
      </w:r>
      <w:r>
        <w:rPr>
          <w:rFonts w:ascii="Times New Roman" w:hAnsi="Times New Roman" w:cs="Times New Roman"/>
          <w:i/>
          <w:iCs/>
          <w:sz w:val="22"/>
          <w:szCs w:val="22"/>
        </w:rPr>
        <w:t>Cruciformity: Paul’s Narrative Spirituality of the Cross</w:t>
      </w:r>
      <w:r>
        <w:rPr>
          <w:rFonts w:ascii="Times New Roman" w:hAnsi="Times New Roman" w:cs="Times New Roman"/>
          <w:sz w:val="22"/>
          <w:szCs w:val="22"/>
        </w:rPr>
        <w:t xml:space="preserve"> (Grand Rapids: Eerdmans, 2001), 156–183.</w:t>
      </w:r>
    </w:p>
    <w:p w14:paraId="6DC67E11" w14:textId="77777777" w:rsidR="00D33010" w:rsidRPr="00850CC8" w:rsidRDefault="00D33010" w:rsidP="00850CC8">
      <w:pPr>
        <w:spacing w:line="276" w:lineRule="auto"/>
        <w:rPr>
          <w:rFonts w:ascii="Times New Roman" w:hAnsi="Times New Roman" w:cs="Times New Roman"/>
          <w:sz w:val="22"/>
          <w:szCs w:val="22"/>
        </w:rPr>
      </w:pPr>
    </w:p>
    <w:p w14:paraId="72DF4D0E" w14:textId="77777777" w:rsidR="00D33010" w:rsidRPr="00850CC8" w:rsidRDefault="00D33010" w:rsidP="00850CC8">
      <w:pPr>
        <w:spacing w:before="120" w:line="276" w:lineRule="auto"/>
        <w:ind w:firstLine="720"/>
        <w:jc w:val="both"/>
        <w:rPr>
          <w:rFonts w:ascii="Times New Roman" w:hAnsi="Times New Roman" w:cs="Times New Roman"/>
          <w:sz w:val="22"/>
          <w:szCs w:val="22"/>
        </w:rPr>
      </w:pPr>
      <w:r>
        <w:rPr>
          <w:rFonts w:ascii="Times New Roman" w:hAnsi="Times New Roman" w:cs="Times New Roman"/>
          <w:sz w:val="22"/>
          <w:szCs w:val="22"/>
        </w:rPr>
        <w:t xml:space="preserve">3. Jeffrey Wattles, </w:t>
      </w:r>
      <w:r>
        <w:rPr>
          <w:rFonts w:ascii="Times New Roman" w:hAnsi="Times New Roman" w:cs="Times New Roman"/>
          <w:i/>
          <w:iCs/>
          <w:sz w:val="22"/>
          <w:szCs w:val="22"/>
        </w:rPr>
        <w:t>The Golden Rule</w:t>
      </w:r>
      <w:r>
        <w:rPr>
          <w:rFonts w:ascii="Times New Roman" w:hAnsi="Times New Roman" w:cs="Times New Roman"/>
          <w:sz w:val="22"/>
          <w:szCs w:val="22"/>
        </w:rPr>
        <w:t xml:space="preserve"> (Oxford: Oxford University Press, 1996), 1–19. Wattles’s survey of the Rule across traditions is the standard scholarly treatment and has not been superseded. His typology of interpretations, ranging from prudential to empathic to spiritual, provides a useful framework for understanding what is and is not being claimed by any given formulation of the Rule. The claim of the present book, that the Rule’s deepest ground is the immanent life of the Trinity, falls within what Wattles would classify as the “spiritual” interpretation, though it specifies the theological content of that interpretation more precisely than most spiritual readings attempt.</w:t>
      </w:r>
    </w:p>
    <w:p w14:paraId="7B9C0E17" w14:textId="77777777" w:rsidR="00D33010" w:rsidRPr="00850CC8" w:rsidRDefault="00D33010" w:rsidP="00850CC8">
      <w:pPr>
        <w:spacing w:line="276" w:lineRule="auto"/>
        <w:rPr>
          <w:rFonts w:ascii="Times New Roman" w:hAnsi="Times New Roman" w:cs="Times New Roman"/>
          <w:sz w:val="22"/>
          <w:szCs w:val="22"/>
        </w:rPr>
      </w:pPr>
    </w:p>
    <w:p w14:paraId="2CD579E0" w14:textId="77777777" w:rsidR="00D33010" w:rsidRPr="00850CC8" w:rsidRDefault="00D33010" w:rsidP="00850CC8">
      <w:pPr>
        <w:spacing w:before="120" w:line="276" w:lineRule="auto"/>
        <w:ind w:firstLine="720"/>
        <w:jc w:val="both"/>
        <w:rPr>
          <w:rFonts w:ascii="Times New Roman" w:hAnsi="Times New Roman" w:cs="Times New Roman"/>
          <w:sz w:val="22"/>
          <w:szCs w:val="22"/>
        </w:rPr>
      </w:pPr>
      <w:r>
        <w:rPr>
          <w:rFonts w:ascii="Times New Roman" w:hAnsi="Times New Roman" w:cs="Times New Roman"/>
          <w:sz w:val="22"/>
          <w:szCs w:val="22"/>
        </w:rPr>
        <w:t xml:space="preserve">4. The exegetical question of what the parable of the Good Samaritan is doing in response to the lawyer’s question is carefully handled in John Nolland, </w:t>
      </w:r>
      <w:r>
        <w:rPr>
          <w:rFonts w:ascii="Times New Roman" w:hAnsi="Times New Roman" w:cs="Times New Roman"/>
          <w:i/>
          <w:iCs/>
          <w:sz w:val="22"/>
          <w:szCs w:val="22"/>
        </w:rPr>
        <w:t>Luke 9:21–18:34</w:t>
      </w:r>
      <w:r>
        <w:rPr>
          <w:rFonts w:ascii="Times New Roman" w:hAnsi="Times New Roman" w:cs="Times New Roman"/>
          <w:sz w:val="22"/>
          <w:szCs w:val="22"/>
        </w:rPr>
        <w:t>, Word Biblical Commentary (Dallas: Word Books, 1993), 586–593. Nolland argues that the parable does not answer the question “who is my neighbor?” directly but reframes the question: instead of asking who qualifies as the recipient of neighborly obligation, the parable asks what it looks like to act as a neighbor. The shift is from the passive “who must I love?” to the active “how do I love well?” This reframing is consistent with the argument of the present chapter about the reflexive structure of the commandment.</w:t>
      </w:r>
    </w:p>
    <w:p w14:paraId="14B1410C" w14:textId="77777777" w:rsidR="00D33010" w:rsidRPr="00850CC8" w:rsidRDefault="00D33010" w:rsidP="00850CC8">
      <w:pPr>
        <w:spacing w:line="276" w:lineRule="auto"/>
        <w:rPr>
          <w:rFonts w:ascii="Times New Roman" w:hAnsi="Times New Roman" w:cs="Times New Roman"/>
          <w:sz w:val="22"/>
          <w:szCs w:val="22"/>
        </w:rPr>
      </w:pPr>
    </w:p>
    <w:p w14:paraId="6F192573" w14:textId="77777777" w:rsidR="00D33010" w:rsidRPr="00850CC8" w:rsidRDefault="00D33010" w:rsidP="00850CC8">
      <w:pPr>
        <w:spacing w:before="120" w:line="276" w:lineRule="auto"/>
        <w:ind w:firstLine="720"/>
        <w:jc w:val="both"/>
        <w:rPr>
          <w:rFonts w:ascii="Times New Roman" w:hAnsi="Times New Roman" w:cs="Times New Roman"/>
          <w:sz w:val="22"/>
          <w:szCs w:val="22"/>
        </w:rPr>
      </w:pPr>
      <w:r>
        <w:rPr>
          <w:rFonts w:ascii="Times New Roman" w:hAnsi="Times New Roman" w:cs="Times New Roman"/>
          <w:sz w:val="22"/>
          <w:szCs w:val="22"/>
        </w:rPr>
        <w:t xml:space="preserve">5. Oliver O’Donovan, </w:t>
      </w:r>
      <w:r>
        <w:rPr>
          <w:rFonts w:ascii="Times New Roman" w:hAnsi="Times New Roman" w:cs="Times New Roman"/>
          <w:i/>
          <w:iCs/>
          <w:sz w:val="22"/>
          <w:szCs w:val="22"/>
        </w:rPr>
        <w:t>Resurrection and Moral Order: An Outline for Evangelical Ethics</w:t>
      </w:r>
      <w:r>
        <w:rPr>
          <w:rFonts w:ascii="Times New Roman" w:hAnsi="Times New Roman" w:cs="Times New Roman"/>
          <w:sz w:val="22"/>
          <w:szCs w:val="22"/>
        </w:rPr>
        <w:t xml:space="preserve">, 2nd ed. (Grand Rapids: Eerdmans, 1994), 11–27. O’Donovan’s argument that the resurrection of Christ is the confirmation of the created moral order, rather than its replacement by a new and discontinuous order, is one of the most important contributions to Protestant ethics in the twentieth century. The present argument </w:t>
        <w:lastRenderedPageBreak/>
        <w:t>does not dispute O’Donovan’s claim but presses the question of what the created moral order is grounded in: the answer proposed here is the Trinitarian life of the Creator, which makes the moral order of creation an expression of the prior self-giving love of the triune persons rather than a free-standing rational structure.</w:t>
      </w:r>
    </w:p>
    <w:p w14:paraId="32BEA08B" w14:textId="77777777" w:rsidR="00D33010" w:rsidRPr="00850CC8" w:rsidRDefault="00D33010" w:rsidP="00850CC8">
      <w:pPr>
        <w:spacing w:line="276" w:lineRule="auto"/>
        <w:rPr>
          <w:rFonts w:ascii="Times New Roman" w:hAnsi="Times New Roman" w:cs="Times New Roman"/>
          <w:sz w:val="22"/>
          <w:szCs w:val="22"/>
        </w:rPr>
      </w:pPr>
    </w:p>
    <w:p w14:paraId="5621C066" w14:textId="77777777" w:rsidR="00D33010" w:rsidRPr="00850CC8" w:rsidRDefault="00D33010" w:rsidP="00850CC8">
      <w:pPr>
        <w:spacing w:before="120" w:line="276" w:lineRule="auto"/>
        <w:ind w:firstLine="720"/>
        <w:jc w:val="both"/>
        <w:rPr>
          <w:rFonts w:ascii="Times New Roman" w:hAnsi="Times New Roman" w:cs="Times New Roman"/>
          <w:sz w:val="22"/>
          <w:szCs w:val="22"/>
        </w:rPr>
      </w:pPr>
      <w:r>
        <w:rPr>
          <w:rFonts w:ascii="Times New Roman" w:hAnsi="Times New Roman" w:cs="Times New Roman"/>
          <w:sz w:val="22"/>
          <w:szCs w:val="22"/>
        </w:rPr>
        <w:t xml:space="preserve">6. The indicative-imperative pattern in Pauline ethics is analyzed with care in Rudolf Bultmann, </w:t>
      </w:r>
      <w:r>
        <w:rPr>
          <w:rFonts w:ascii="Times New Roman" w:hAnsi="Times New Roman" w:cs="Times New Roman"/>
          <w:i/>
          <w:iCs/>
          <w:sz w:val="22"/>
          <w:szCs w:val="22"/>
        </w:rPr>
        <w:t>Theology of the New Testament</w:t>
      </w:r>
      <w:r>
        <w:rPr>
          <w:rFonts w:ascii="Times New Roman" w:hAnsi="Times New Roman" w:cs="Times New Roman"/>
          <w:sz w:val="22"/>
          <w:szCs w:val="22"/>
        </w:rPr>
        <w:t xml:space="preserve">, trans. Kendrick Grobel, 2 vols. (New York: Scribner’s, 1951–55), 1:332–353. Bultmann’s formulation, “become what you are,” has become the standard shorthand for the pattern. For a critical engagement with Bultmann’s account that preserves the structural observation while questioning the existentialist framework in which he embeds it, see Furnish, </w:t>
      </w:r>
      <w:r>
        <w:rPr>
          <w:rFonts w:ascii="Times New Roman" w:hAnsi="Times New Roman" w:cs="Times New Roman"/>
          <w:i/>
          <w:iCs/>
          <w:sz w:val="22"/>
          <w:szCs w:val="22"/>
        </w:rPr>
        <w:t>Theology and Ethics in Paul</w:t>
      </w:r>
      <w:r>
        <w:rPr>
          <w:rFonts w:ascii="Times New Roman" w:hAnsi="Times New Roman" w:cs="Times New Roman"/>
          <w:sz w:val="22"/>
          <w:szCs w:val="22"/>
        </w:rPr>
        <w:t xml:space="preserve"> (Nashville: Abingdon, 1968), 224–237. The theological significance of the pattern for Christian ethics more broadly is developed in John Murray, </w:t>
      </w:r>
      <w:r>
        <w:rPr>
          <w:rFonts w:ascii="Times New Roman" w:hAnsi="Times New Roman" w:cs="Times New Roman"/>
          <w:i/>
          <w:iCs/>
          <w:sz w:val="22"/>
          <w:szCs w:val="22"/>
        </w:rPr>
        <w:t>Principles of Conduct: Aspects of Biblical Ethics</w:t>
      </w:r>
      <w:r>
        <w:rPr>
          <w:rFonts w:ascii="Times New Roman" w:hAnsi="Times New Roman" w:cs="Times New Roman"/>
          <w:sz w:val="22"/>
          <w:szCs w:val="22"/>
        </w:rPr>
        <w:t xml:space="preserve"> (Grand Rapids: Eerdmans, 1957), 181–201.</w:t>
      </w:r>
    </w:p>
    <w:p w14:paraId="67DEE2F7" w14:textId="77777777" w:rsidR="00D33010" w:rsidRPr="00850CC8" w:rsidRDefault="00D33010" w:rsidP="00850CC8">
      <w:pPr>
        <w:spacing w:line="276" w:lineRule="auto"/>
        <w:rPr>
          <w:rFonts w:ascii="Times New Roman" w:hAnsi="Times New Roman" w:cs="Times New Roman"/>
          <w:sz w:val="22"/>
          <w:szCs w:val="22"/>
        </w:rPr>
      </w:pPr>
    </w:p>
    <w:p w14:paraId="6CB61CBB" w14:textId="77777777" w:rsidR="00D33010" w:rsidRPr="00850CC8" w:rsidRDefault="00D33010" w:rsidP="00850CC8">
      <w:pPr>
        <w:spacing w:before="120" w:line="276" w:lineRule="auto"/>
        <w:ind w:firstLine="720"/>
        <w:jc w:val="both"/>
        <w:rPr>
          <w:rFonts w:ascii="Times New Roman" w:hAnsi="Times New Roman" w:cs="Times New Roman"/>
          <w:sz w:val="22"/>
          <w:szCs w:val="22"/>
        </w:rPr>
      </w:pPr>
      <w:r>
        <w:rPr>
          <w:rFonts w:ascii="Times New Roman" w:hAnsi="Times New Roman" w:cs="Times New Roman"/>
          <w:sz w:val="22"/>
          <w:szCs w:val="22"/>
        </w:rPr>
        <w:t xml:space="preserve">7. The contrast between the Christian account of the love commandment and its Kantian or utilitarian counterparts is developed with particular clarity in Søren Kierkegaard, </w:t>
      </w:r>
      <w:r>
        <w:rPr>
          <w:rFonts w:ascii="Times New Roman" w:hAnsi="Times New Roman" w:cs="Times New Roman"/>
          <w:i/>
          <w:iCs/>
          <w:sz w:val="22"/>
          <w:szCs w:val="22"/>
        </w:rPr>
        <w:t>Works of Love</w:t>
      </w:r>
      <w:r>
        <w:rPr>
          <w:rFonts w:ascii="Times New Roman" w:hAnsi="Times New Roman" w:cs="Times New Roman"/>
          <w:sz w:val="22"/>
          <w:szCs w:val="22"/>
        </w:rPr>
        <w:t xml:space="preserve">, trans. Howard and Edna Hong (Princeton: Princeton University Press, 1995), 44–58. Kierkegaard’s argument that the command to love the neighbor is possible only because it is grounded in the prior love of God, that without this grounding the command is either sentimentality or an impossible demand, anticipates the present argument at several points. For a contemporary theological engagement with Kierkegaard’s ethics of love that is directly relevant here, see M. Jamie Ferreira, </w:t>
      </w:r>
      <w:r>
        <w:rPr>
          <w:rFonts w:ascii="Times New Roman" w:hAnsi="Times New Roman" w:cs="Times New Roman"/>
          <w:i/>
          <w:iCs/>
          <w:sz w:val="22"/>
          <w:szCs w:val="22"/>
        </w:rPr>
        <w:t>Love’s Grateful Striving: A Commentary on Kierkegaard’s Works of Love</w:t>
      </w:r>
      <w:r>
        <w:rPr>
          <w:rFonts w:ascii="Times New Roman" w:hAnsi="Times New Roman" w:cs="Times New Roman"/>
          <w:sz w:val="22"/>
          <w:szCs w:val="22"/>
        </w:rPr>
        <w:t xml:space="preserve"> (Oxford: Oxford University Press, 2001), 19–42.</w:t>
      </w:r>
    </w:p>
    <w:p w14:paraId="2C8B7030" w14:textId="25F3C384" w:rsidR="00005F4F" w:rsidRPr="00850CC8" w:rsidRDefault="00005F4F" w:rsidP="00850CC8">
      <w:pPr>
        <w:spacing w:line="276" w:lineRule="auto"/>
        <w:rPr>
          <w:rFonts w:ascii="Times New Roman" w:hAnsi="Times New Roman" w:cs="Times New Roman"/>
          <w:sz w:val="22"/>
          <w:szCs w:val="22"/>
        </w:rPr>
      </w:pPr>
      <w:r>
        <w:rPr>
          <w:rFonts w:ascii="Times New Roman" w:hAnsi="Times New Roman" w:cs="Times New Roman"/>
          <w:sz w:val="22"/>
          <w:szCs w:val="22"/>
        </w:rPr>
        <w:br w:type="page"/>
      </w:r>
    </w:p>
    <w:p w14:paraId="2903E251" w14:textId="77777777" w:rsidR="00005F4F" w:rsidRPr="00850CC8" w:rsidRDefault="00005F4F" w:rsidP="00850CC8">
      <w:pPr>
        <w:pStyle w:val="Heading1"/>
        <w:spacing w:line="276" w:lineRule="auto"/>
        <w:jc w:val="center"/>
        <w:rPr>
          <w:rFonts w:ascii="Times New Roman" w:hAnsi="Times New Roman" w:cs="Times New Roman"/>
          <w:color w:val="000000" w:themeColor="text1"/>
          <w:sz w:val="22"/>
          <w:szCs w:val="22"/>
        </w:rPr>
      </w:pPr>
      <w:bookmarkStart w:id="9" w:name="_Toc228335815"/>
      <w:r>
        <w:rPr>
          <w:rFonts w:ascii="Times New Roman" w:hAnsi="Times New Roman" w:cs="Times New Roman"/>
          <w:color w:val="000000" w:themeColor="text1"/>
          <w:sz w:val="22"/>
          <w:szCs w:val="22"/>
        </w:rPr>
        <w:lastRenderedPageBreak/>
        <w:t>Chapter Six</w:t>
        <w:br/>
        <w:t>Relational Love in the Texture of History</w:t>
      </w:r>
      <w:bookmarkEnd w:id="9"/>
    </w:p>
    <w:p w14:paraId="150E1877" w14:textId="77777777" w:rsidR="00005F4F" w:rsidRPr="00850CC8" w:rsidRDefault="00005F4F" w:rsidP="00850CC8">
      <w:pPr>
        <w:pStyle w:val="Heading1"/>
        <w:spacing w:line="276" w:lineRule="auto"/>
        <w:jc w:val="center"/>
        <w:rPr>
          <w:rFonts w:ascii="Times New Roman" w:hAnsi="Times New Roman" w:cs="Times New Roman"/>
          <w:color w:val="000000" w:themeColor="text1"/>
          <w:sz w:val="22"/>
          <w:szCs w:val="22"/>
        </w:rPr>
      </w:pPr>
    </w:p>
    <w:p w14:paraId="58CD5B4E" w14:textId="77777777" w:rsidR="00005F4F" w:rsidRPr="00850CC8" w:rsidRDefault="00005F4F" w:rsidP="00850CC8">
      <w:pPr>
        <w:spacing w:line="276" w:lineRule="auto"/>
        <w:jc w:val="both"/>
        <w:rPr>
          <w:rFonts w:ascii="Times New Roman" w:hAnsi="Times New Roman" w:cs="Times New Roman"/>
          <w:sz w:val="22"/>
          <w:szCs w:val="22"/>
        </w:rPr>
      </w:pPr>
      <w:r>
        <w:rPr>
          <w:rFonts w:ascii="Times New Roman" w:hAnsi="Times New Roman" w:cs="Times New Roman"/>
          <w:sz w:val="22"/>
          <w:szCs w:val="22"/>
        </w:rPr>
        <w:t>The argument of the preceding chapters has been developed largely at the level of structure. We have examined the inner life of the Trinity, the constitution of image-bearing humanity, the four qualities of the moral life, and the grammar encoded in the two great commandments and the Golden Rule. These are real and important things to examine. But the moral life is not lived at the level of structure. It is lived in the texture of particular events, in the pressure of specific relationships, in the long and often painful history of creatures who know what they are made for and find themselves unable, consistently, to live from it.</w:t>
      </w:r>
    </w:p>
    <w:p w14:paraId="5934A384" w14:textId="77777777" w:rsidR="00005F4F" w:rsidRPr="00850CC8" w:rsidRDefault="00005F4F" w:rsidP="00850CC8">
      <w:pPr>
        <w:spacing w:line="276" w:lineRule="auto"/>
        <w:rPr>
          <w:rFonts w:ascii="Times New Roman" w:hAnsi="Times New Roman" w:cs="Times New Roman"/>
          <w:sz w:val="22"/>
          <w:szCs w:val="22"/>
        </w:rPr>
      </w:pPr>
    </w:p>
    <w:p w14:paraId="5371D32C" w14:textId="77777777" w:rsidR="00005F4F" w:rsidRPr="00850CC8" w:rsidRDefault="00005F4F"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The biblical narrative does not present a theoretical ethics. It presents a living God dealing with actual creatures in actual circumstances, and the moral logic that governs those dealings is not always announced before it is enacted. It has to be read from the shape of what happens, from the pattern of how God responds to human action and inaction, from the way particular relationships generate particular obligations and open particular possibilities that would not otherwise exist.</w:t>
      </w:r>
    </w:p>
    <w:p w14:paraId="50BF1F1E" w14:textId="77777777" w:rsidR="00005F4F" w:rsidRPr="00850CC8" w:rsidRDefault="00005F4F" w:rsidP="00850CC8">
      <w:pPr>
        <w:spacing w:line="276" w:lineRule="auto"/>
        <w:rPr>
          <w:rFonts w:ascii="Times New Roman" w:hAnsi="Times New Roman" w:cs="Times New Roman"/>
          <w:sz w:val="22"/>
          <w:szCs w:val="22"/>
        </w:rPr>
      </w:pPr>
    </w:p>
    <w:p w14:paraId="4F199D76" w14:textId="77777777" w:rsidR="00005F4F" w:rsidRPr="00850CC8" w:rsidRDefault="00005F4F"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This chapter takes up two narratives mentioned in earlier chapters as illustrations but not yet examined in detail: Abraham’s intercession for Sodom in Genesis 18, and the deliverance of Rahab in Joshua 2 and 6. They are paired here not because they are the same kind of story but because they illuminate, from different angles, the same underlying logic: that relational proximity is not a peripheral feature of the moral life but one of its primary structural determinants, and that the God who governs the world governs it in a way that is consistently responsive to the state of particular relationships.</w:t>
      </w:r>
    </w:p>
    <w:p w14:paraId="24BA905C" w14:textId="77777777" w:rsidR="00005F4F" w:rsidRPr="00850CC8" w:rsidRDefault="00005F4F" w:rsidP="00850CC8">
      <w:pPr>
        <w:spacing w:line="276" w:lineRule="auto"/>
        <w:rPr>
          <w:rFonts w:ascii="Times New Roman" w:hAnsi="Times New Roman" w:cs="Times New Roman"/>
          <w:sz w:val="22"/>
          <w:szCs w:val="22"/>
        </w:rPr>
      </w:pPr>
    </w:p>
    <w:p w14:paraId="2440E0C1" w14:textId="77777777" w:rsidR="00005F4F" w:rsidRPr="00850CC8" w:rsidRDefault="00005F4F"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These narratives are not offered as proof texts for the theoretical framework developed in the preceding chapters. They are offered as windows. The framework helps us see what is happening in the narratives. The narratives, in turn, give the framework the density and particularity that abstract analysis cannot supply. Each illuminates the other.</w:t>
      </w:r>
    </w:p>
    <w:p w14:paraId="67FB22F4" w14:textId="77777777" w:rsidR="00005F4F" w:rsidRPr="00850CC8" w:rsidRDefault="00005F4F" w:rsidP="00850CC8">
      <w:pPr>
        <w:spacing w:line="276" w:lineRule="auto"/>
        <w:rPr>
          <w:rFonts w:ascii="Times New Roman" w:hAnsi="Times New Roman" w:cs="Times New Roman"/>
          <w:sz w:val="22"/>
          <w:szCs w:val="22"/>
        </w:rPr>
      </w:pPr>
    </w:p>
    <w:p w14:paraId="2878D87D" w14:textId="77777777" w:rsidR="00005F4F" w:rsidRPr="00850CC8" w:rsidRDefault="00005F4F" w:rsidP="00850CC8">
      <w:pPr>
        <w:spacing w:before="480" w:after="240" w:line="276" w:lineRule="auto"/>
        <w:rPr>
          <w:rFonts w:ascii="Times New Roman" w:hAnsi="Times New Roman" w:cs="Times New Roman"/>
          <w:sz w:val="22"/>
          <w:szCs w:val="22"/>
        </w:rPr>
      </w:pPr>
      <w:r>
        <w:rPr>
          <w:rFonts w:ascii="Times New Roman" w:hAnsi="Times New Roman" w:cs="Times New Roman"/>
          <w:b/>
          <w:bCs/>
          <w:sz w:val="22"/>
          <w:szCs w:val="22"/>
        </w:rPr>
        <w:t>Abraham at the Oak of Mamre</w:t>
      </w:r>
    </w:p>
    <w:p w14:paraId="3F15F1D3" w14:textId="77777777" w:rsidR="00005F4F" w:rsidRPr="00850CC8" w:rsidRDefault="00005F4F" w:rsidP="00850CC8">
      <w:pPr>
        <w:spacing w:line="276" w:lineRule="auto"/>
        <w:jc w:val="both"/>
        <w:rPr>
          <w:rFonts w:ascii="Times New Roman" w:hAnsi="Times New Roman" w:cs="Times New Roman"/>
          <w:sz w:val="22"/>
          <w:szCs w:val="22"/>
        </w:rPr>
      </w:pPr>
      <w:r>
        <w:rPr>
          <w:rFonts w:ascii="Times New Roman" w:hAnsi="Times New Roman" w:cs="Times New Roman"/>
          <w:sz w:val="22"/>
          <w:szCs w:val="22"/>
        </w:rPr>
        <w:t>The scene in Genesis 18 is one of the most remarkable in the entire Hebrew Bible. Three visitors arrive at Abraham’s tent by the oaks of Mamre, and Abraham receives them with the lavish hospitality that signals, for any ancient Near Eastern reader, a relationship of real regard and welcome. The text has already told the reader something the narrative’s participants seem to discover only gradually: the LORD himself is present in this encounter. What begins as hospitality becomes a conversation, and what begins as a conversation becomes something extraordinary: a negotiation between Abraham and God about the fate of Sodom.</w:t>
      </w:r>
    </w:p>
    <w:p w14:paraId="47EB1141" w14:textId="77777777" w:rsidR="00005F4F" w:rsidRPr="00850CC8" w:rsidRDefault="00005F4F" w:rsidP="00850CC8">
      <w:pPr>
        <w:spacing w:line="276" w:lineRule="auto"/>
        <w:rPr>
          <w:rFonts w:ascii="Times New Roman" w:hAnsi="Times New Roman" w:cs="Times New Roman"/>
          <w:sz w:val="22"/>
          <w:szCs w:val="22"/>
        </w:rPr>
      </w:pPr>
    </w:p>
    <w:p w14:paraId="2001D025" w14:textId="77777777" w:rsidR="00005F4F" w:rsidRPr="00850CC8" w:rsidRDefault="00005F4F"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 xml:space="preserve">Before the negotiation begins, there is a moment that deserves to be paused over. The LORD, walking toward Sodom, asks himself a question: “Shall I hide from Abraham what I am about to do?” (Genesis 18:17). The question is not rhetorical in the dismissive sense. It is an actual deliberation about the </w:t>
        <w:lastRenderedPageBreak/>
        <w:t>appropriate relationship between divine purpose and human knowledge, rooted in the nature of the relationship established. The answer God gives to himself is telling: “Abraham shall surely become a great and mighty nation, and all the nations of the earth shall be blessed in him. For I have chosen him, that he may command his children and his household after him to keep the way of the LORD by doing righteousness and justice” (Genesis 18:18–19).</w:t>
      </w:r>
    </w:p>
    <w:p w14:paraId="009AD3A4" w14:textId="77777777" w:rsidR="00005F4F" w:rsidRPr="00850CC8" w:rsidRDefault="00005F4F" w:rsidP="00850CC8">
      <w:pPr>
        <w:spacing w:line="276" w:lineRule="auto"/>
        <w:rPr>
          <w:rFonts w:ascii="Times New Roman" w:hAnsi="Times New Roman" w:cs="Times New Roman"/>
          <w:sz w:val="22"/>
          <w:szCs w:val="22"/>
        </w:rPr>
      </w:pPr>
    </w:p>
    <w:p w14:paraId="4EB5F6E5" w14:textId="77777777" w:rsidR="00005F4F" w:rsidRPr="00850CC8" w:rsidRDefault="00005F4F"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The disclosure of divine intention to Abraham is not a courtesy. It is a consequence of a relationship. Because Abraham has been chosen, because he stands in a particular covenantal proximity to God, he is admitted to a knowledge that others do not share. R. W. L. Moberly, in his careful reading of the Abraham narratives, notes that this moment anticipates the later prophetic tradition, in which the prophet is admitted to the divine council and entrusted with knowledge of divine intention precisely because of the relational standing that the prophetic vocation confers.</w:t>
      </w:r>
      <w:r>
        <w:rPr>
          <w:rFonts w:ascii="Times New Roman" w:hAnsi="Times New Roman" w:cs="Times New Roman"/>
          <w:sz w:val="22"/>
          <w:szCs w:val="22"/>
          <w:vertAlign w:val="superscript"/>
        </w:rPr>
        <w:t>1</w:t>
      </w:r>
      <w:r>
        <w:rPr>
          <w:rFonts w:ascii="Times New Roman" w:hAnsi="Times New Roman" w:cs="Times New Roman"/>
          <w:sz w:val="22"/>
          <w:szCs w:val="22"/>
        </w:rPr>
        <w:t xml:space="preserve"> The logic is the same in both cases: relational proximity generates a kind of access, an inclusion within the sphere of divine deliberation, that does not belong to those at greater distance.</w:t>
      </w:r>
    </w:p>
    <w:p w14:paraId="35CD9180" w14:textId="77777777" w:rsidR="00005F4F" w:rsidRPr="00850CC8" w:rsidRDefault="00005F4F" w:rsidP="00850CC8">
      <w:pPr>
        <w:spacing w:line="276" w:lineRule="auto"/>
        <w:rPr>
          <w:rFonts w:ascii="Times New Roman" w:hAnsi="Times New Roman" w:cs="Times New Roman"/>
          <w:sz w:val="22"/>
          <w:szCs w:val="22"/>
        </w:rPr>
      </w:pPr>
    </w:p>
    <w:p w14:paraId="2A53A66E" w14:textId="77777777" w:rsidR="00005F4F" w:rsidRPr="00850CC8" w:rsidRDefault="00005F4F"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What follows from that disclosure is the intercession itself, and it is worth reading slowly. Abraham does not simply plead for Sodom on humanitarian grounds. He constructs an argument rooted in the character of God himself. “Will you indeed sweep away the righteous with the wicked? Suppose there are fifty righteous within the city. Will you then sweep away the place and not spare it for the fifty righteous who are in it? Far be it from you to do such a thing, to put the righteous to death with the wicked, so that the righteous fare as the wicked! Far be that from you! Shall not the Judge of all the earth do what is just?” (Genesis 18:23–25).</w:t>
      </w:r>
    </w:p>
    <w:p w14:paraId="66249603" w14:textId="77777777" w:rsidR="00005F4F" w:rsidRPr="00850CC8" w:rsidRDefault="00005F4F" w:rsidP="00850CC8">
      <w:pPr>
        <w:spacing w:line="276" w:lineRule="auto"/>
        <w:rPr>
          <w:rFonts w:ascii="Times New Roman" w:hAnsi="Times New Roman" w:cs="Times New Roman"/>
          <w:sz w:val="22"/>
          <w:szCs w:val="22"/>
        </w:rPr>
      </w:pPr>
    </w:p>
    <w:p w14:paraId="249BD8F1" w14:textId="77777777" w:rsidR="00005F4F" w:rsidRPr="00850CC8" w:rsidRDefault="00005F4F"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The argument has a structure that repays attention. Abraham is not appealing to an external standard of justice that stands over God and to which God is accountable. He is appealing to God’s own character, as that character has been disclosed in their relationship. “Shall not the Judge of all the earth do what is just?” is not a challenge to divine authority. It is a recognition of divine identity: the God who judges the earth is, by his own nature, committed to justice, and Abraham’s argument is that the judgment being contemplated would be inconsistent with that commitment.</w:t>
      </w:r>
    </w:p>
    <w:p w14:paraId="09DE65F4" w14:textId="77777777" w:rsidR="00005F4F" w:rsidRPr="00850CC8" w:rsidRDefault="00005F4F" w:rsidP="00850CC8">
      <w:pPr>
        <w:spacing w:line="276" w:lineRule="auto"/>
        <w:rPr>
          <w:rFonts w:ascii="Times New Roman" w:hAnsi="Times New Roman" w:cs="Times New Roman"/>
          <w:sz w:val="22"/>
          <w:szCs w:val="22"/>
        </w:rPr>
      </w:pPr>
    </w:p>
    <w:p w14:paraId="33F9F14C" w14:textId="77777777" w:rsidR="00005F4F" w:rsidRPr="00850CC8" w:rsidRDefault="00005F4F"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This is precisely the reflexive structure of moral reasoning that Chapter Five identified in the two great commandments and the Golden Rule. Abraham is appealing to God’s own experience of what justice requires, drawing on the character that God himself has revealed in their relationship, and using that character as the normative measure for what the present situation demands. The argument is not, in other words, Abraham instructing God about external moral standards. It is Abraham reminding God, with remarkable boldness, of who God is.</w:t>
      </w:r>
      <w:r>
        <w:rPr>
          <w:rFonts w:ascii="Times New Roman" w:hAnsi="Times New Roman" w:cs="Times New Roman"/>
          <w:sz w:val="22"/>
          <w:szCs w:val="22"/>
          <w:vertAlign w:val="superscript"/>
        </w:rPr>
        <w:t>2</w:t>
      </w:r>
    </w:p>
    <w:p w14:paraId="16AAB82B" w14:textId="77777777" w:rsidR="00005F4F" w:rsidRPr="00850CC8" w:rsidRDefault="00005F4F" w:rsidP="00850CC8">
      <w:pPr>
        <w:spacing w:line="276" w:lineRule="auto"/>
        <w:rPr>
          <w:rFonts w:ascii="Times New Roman" w:hAnsi="Times New Roman" w:cs="Times New Roman"/>
          <w:sz w:val="22"/>
          <w:szCs w:val="22"/>
        </w:rPr>
      </w:pPr>
    </w:p>
    <w:p w14:paraId="2E680F02" w14:textId="77777777" w:rsidR="00005F4F" w:rsidRPr="00850CC8" w:rsidRDefault="00005F4F" w:rsidP="00850CC8">
      <w:pPr>
        <w:spacing w:before="480" w:after="240" w:line="276" w:lineRule="auto"/>
        <w:rPr>
          <w:rFonts w:ascii="Times New Roman" w:hAnsi="Times New Roman" w:cs="Times New Roman"/>
          <w:sz w:val="22"/>
          <w:szCs w:val="22"/>
        </w:rPr>
      </w:pPr>
      <w:r>
        <w:rPr>
          <w:rFonts w:ascii="Times New Roman" w:hAnsi="Times New Roman" w:cs="Times New Roman"/>
          <w:b/>
          <w:bCs/>
          <w:sz w:val="22"/>
          <w:szCs w:val="22"/>
        </w:rPr>
        <w:t>The Anatomy of the Negotiation</w:t>
      </w:r>
    </w:p>
    <w:p w14:paraId="69147AD8" w14:textId="77777777" w:rsidR="00005F4F" w:rsidRPr="00850CC8" w:rsidRDefault="00005F4F" w:rsidP="00850CC8">
      <w:pPr>
        <w:spacing w:line="276" w:lineRule="auto"/>
        <w:jc w:val="both"/>
        <w:rPr>
          <w:rFonts w:ascii="Times New Roman" w:hAnsi="Times New Roman" w:cs="Times New Roman"/>
          <w:sz w:val="22"/>
          <w:szCs w:val="22"/>
        </w:rPr>
      </w:pPr>
      <w:r>
        <w:rPr>
          <w:rFonts w:ascii="Times New Roman" w:hAnsi="Times New Roman" w:cs="Times New Roman"/>
          <w:sz w:val="22"/>
          <w:szCs w:val="22"/>
        </w:rPr>
        <w:t>The negotiation that follows is among the most theologically dense passages in Genesis, and its density rewards careful analysis. Abraham begins with fifty and descends, in careful increments, through forty-five, forty, thirty, twenty, and finally ten. At each stage, God agrees: if there are that many righteous in the city, he will spare it for their sake. The negotiation ends when Abraham stops asking, not when God refuses.</w:t>
      </w:r>
    </w:p>
    <w:p w14:paraId="51B9965F" w14:textId="77777777" w:rsidR="00005F4F" w:rsidRPr="00850CC8" w:rsidRDefault="00005F4F" w:rsidP="00850CC8">
      <w:pPr>
        <w:spacing w:line="276" w:lineRule="auto"/>
        <w:rPr>
          <w:rFonts w:ascii="Times New Roman" w:hAnsi="Times New Roman" w:cs="Times New Roman"/>
          <w:sz w:val="22"/>
          <w:szCs w:val="22"/>
        </w:rPr>
      </w:pPr>
    </w:p>
    <w:p w14:paraId="57CA958C" w14:textId="77777777" w:rsidR="00005F4F" w:rsidRPr="00850CC8" w:rsidRDefault="00005F4F"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Several features of this exchange are directly relevant to the moral framework being developed in this book.</w:t>
      </w:r>
    </w:p>
    <w:p w14:paraId="11D8104D" w14:textId="77777777" w:rsidR="00005F4F" w:rsidRPr="00850CC8" w:rsidRDefault="00005F4F" w:rsidP="00850CC8">
      <w:pPr>
        <w:spacing w:line="276" w:lineRule="auto"/>
        <w:rPr>
          <w:rFonts w:ascii="Times New Roman" w:hAnsi="Times New Roman" w:cs="Times New Roman"/>
          <w:sz w:val="22"/>
          <w:szCs w:val="22"/>
        </w:rPr>
      </w:pPr>
    </w:p>
    <w:p w14:paraId="28F617CA" w14:textId="77777777" w:rsidR="00005F4F" w:rsidRPr="00850CC8" w:rsidRDefault="00005F4F"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The first is what it reveals about the relationship between the individual and the community in divine moral reasoning. God is willing to spare an entire city, with all its wickedness, for the sake of a righteous remnant within it. The righteous do not simply escape personal judgment while the wicked are destroyed; their presence within the community creates a moral field that extends protection to the whole. This is not the logic of individual merit applied distributively. It is the logic of relational proximity extended communally: the relationship between God and the righteous within Sodom creates an obligation that encompasses the community in which they are embedded.</w:t>
      </w:r>
    </w:p>
    <w:p w14:paraId="03FB749B" w14:textId="77777777" w:rsidR="00005F4F" w:rsidRPr="00850CC8" w:rsidRDefault="00005F4F" w:rsidP="00850CC8">
      <w:pPr>
        <w:spacing w:line="276" w:lineRule="auto"/>
        <w:rPr>
          <w:rFonts w:ascii="Times New Roman" w:hAnsi="Times New Roman" w:cs="Times New Roman"/>
          <w:sz w:val="22"/>
          <w:szCs w:val="22"/>
        </w:rPr>
      </w:pPr>
    </w:p>
    <w:p w14:paraId="60B51814" w14:textId="77777777" w:rsidR="00005F4F" w:rsidRPr="00850CC8" w:rsidRDefault="00005F4F"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The second feature is what the exchange reveals about divine patience. The long negotiation is not a procedural formality. It is a demonstration that God does not move quickly toward judgment. He engages Abraham’s argument with full seriousness, meeting each reduction with an unforced agreement, revealing a disposition that is consistently oriented toward the preservation of life rather than toward the execution of punishment. The Exodus 34:6–7 characterization of God as “slow to anger and abounding in steadfast love” is not an abstract theological claim here. It is visible in the structure of the conversation itself.</w:t>
      </w:r>
      <w:r>
        <w:rPr>
          <w:rFonts w:ascii="Times New Roman" w:hAnsi="Times New Roman" w:cs="Times New Roman"/>
          <w:sz w:val="22"/>
          <w:szCs w:val="22"/>
          <w:vertAlign w:val="superscript"/>
        </w:rPr>
        <w:t>3</w:t>
      </w:r>
    </w:p>
    <w:p w14:paraId="1E6992D5" w14:textId="77777777" w:rsidR="00005F4F" w:rsidRPr="00850CC8" w:rsidRDefault="00005F4F" w:rsidP="00850CC8">
      <w:pPr>
        <w:spacing w:line="276" w:lineRule="auto"/>
        <w:rPr>
          <w:rFonts w:ascii="Times New Roman" w:hAnsi="Times New Roman" w:cs="Times New Roman"/>
          <w:sz w:val="22"/>
          <w:szCs w:val="22"/>
        </w:rPr>
      </w:pPr>
    </w:p>
    <w:p w14:paraId="5332A781" w14:textId="77777777" w:rsidR="00005F4F" w:rsidRPr="00850CC8" w:rsidRDefault="00005F4F"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The third feature is perhaps the most significant for the present argument: the negotiation is made possible by relational proximity, and it proceeds by appeal to relational character. Abraham can approach God as he does because of the covenant relationship established between them. A stranger could not have conducted this conversation. The access Abraham has, the boldness with which he presses his case, the seriousness with which God engages the argument, all of these are functions of a particular relationship with a particular history. And the argument Abraham makes is grounded not in abstract principle but in the character that God has revealed within that relationship.</w:t>
      </w:r>
    </w:p>
    <w:p w14:paraId="5950ED8F" w14:textId="77777777" w:rsidR="00005F4F" w:rsidRPr="00850CC8" w:rsidRDefault="00005F4F" w:rsidP="00850CC8">
      <w:pPr>
        <w:spacing w:line="276" w:lineRule="auto"/>
        <w:rPr>
          <w:rFonts w:ascii="Times New Roman" w:hAnsi="Times New Roman" w:cs="Times New Roman"/>
          <w:sz w:val="22"/>
          <w:szCs w:val="22"/>
        </w:rPr>
      </w:pPr>
    </w:p>
    <w:p w14:paraId="10B65DCB" w14:textId="77777777" w:rsidR="00005F4F" w:rsidRPr="00850CC8" w:rsidRDefault="00005F4F"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The outcome is instructive. Sodom is destroyed, not because God refuses the terms of the negotiation, but because the negotiated condition cannot be met. Not even ten righteous persons can be found within the city. Lot and his family are extracted before the destruction, an extraction itself a function of relational proximity: Lot is Abraham’s nephew, and Genesis 19:29 explicitly states that “God remembered Abraham and sent Lot out of the midst of the overthrow.” The mercy shown to Lot flows through the relationship between God and Abraham. Even in the execution of judgment, the logic of relational proximity is operative.</w:t>
      </w:r>
    </w:p>
    <w:p w14:paraId="3F38FC3A" w14:textId="77777777" w:rsidR="00005F4F" w:rsidRPr="00850CC8" w:rsidRDefault="00005F4F" w:rsidP="00850CC8">
      <w:pPr>
        <w:spacing w:line="276" w:lineRule="auto"/>
        <w:rPr>
          <w:rFonts w:ascii="Times New Roman" w:hAnsi="Times New Roman" w:cs="Times New Roman"/>
          <w:sz w:val="22"/>
          <w:szCs w:val="22"/>
        </w:rPr>
      </w:pPr>
    </w:p>
    <w:p w14:paraId="083121DA" w14:textId="77777777" w:rsidR="00005F4F" w:rsidRPr="00850CC8" w:rsidRDefault="00005F4F" w:rsidP="00850CC8">
      <w:pPr>
        <w:spacing w:before="480" w:after="240" w:line="276" w:lineRule="auto"/>
        <w:rPr>
          <w:rFonts w:ascii="Times New Roman" w:hAnsi="Times New Roman" w:cs="Times New Roman"/>
          <w:sz w:val="22"/>
          <w:szCs w:val="22"/>
        </w:rPr>
      </w:pPr>
      <w:r>
        <w:rPr>
          <w:rFonts w:ascii="Times New Roman" w:hAnsi="Times New Roman" w:cs="Times New Roman"/>
          <w:b/>
          <w:bCs/>
          <w:sz w:val="22"/>
          <w:szCs w:val="22"/>
        </w:rPr>
        <w:t>What the Sodom Narrative Shows</w:t>
      </w:r>
    </w:p>
    <w:p w14:paraId="5FEC676F" w14:textId="77777777" w:rsidR="00005F4F" w:rsidRPr="00850CC8" w:rsidRDefault="00005F4F" w:rsidP="00850CC8">
      <w:pPr>
        <w:spacing w:line="276" w:lineRule="auto"/>
        <w:jc w:val="both"/>
        <w:rPr>
          <w:rFonts w:ascii="Times New Roman" w:hAnsi="Times New Roman" w:cs="Times New Roman"/>
          <w:sz w:val="22"/>
          <w:szCs w:val="22"/>
        </w:rPr>
      </w:pPr>
      <w:r>
        <w:rPr>
          <w:rFonts w:ascii="Times New Roman" w:hAnsi="Times New Roman" w:cs="Times New Roman"/>
          <w:sz w:val="22"/>
          <w:szCs w:val="22"/>
        </w:rPr>
        <w:t>It would be a mistake to read the Sodom narrative primarily as a theodicy, an attempt to justify the destruction of a city by demonstrating that the righteous were protected. The narrative is doing something more interesting than that. It shows, through the medium of a particular historical event, how the moral logic described in the preceding chapters actually operates when it meets the resistance of persistent, unrepentant evil.</w:t>
      </w:r>
    </w:p>
    <w:p w14:paraId="0B48F2DB" w14:textId="77777777" w:rsidR="00005F4F" w:rsidRPr="00850CC8" w:rsidRDefault="00005F4F" w:rsidP="00850CC8">
      <w:pPr>
        <w:spacing w:line="276" w:lineRule="auto"/>
        <w:rPr>
          <w:rFonts w:ascii="Times New Roman" w:hAnsi="Times New Roman" w:cs="Times New Roman"/>
          <w:sz w:val="22"/>
          <w:szCs w:val="22"/>
        </w:rPr>
      </w:pPr>
    </w:p>
    <w:p w14:paraId="089973C2" w14:textId="77777777" w:rsidR="00005F4F" w:rsidRPr="00850CC8" w:rsidRDefault="00005F4F"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lastRenderedPageBreak/>
        <w:t>The four qualities of the moral life identified in Chapter Four are all present in this narrative, and their presence is not incidental. The ethics displayed in Genesis 18 are relational: the conversation between God and Abraham is possible only because of the covenant relationship that has been established, and the outcome for Lot is shaped by his connection to Abraham. It is reflective: Abraham’s argument draws on God’s own disclosed character as the normative measure for what the situation requires. It is situational: the negotiated thresholds are responsive to the specific moral condition of a specific city, not the application of a universal rule without regard to circumstance. And it is personal: God remembers Abraham by name, Lot is extracted as a person in a particular relationship rather than as a member of a statistical category, and the entire transaction is conducted between particular persons with a shared history.</w:t>
      </w:r>
    </w:p>
    <w:p w14:paraId="01FA95CC" w14:textId="77777777" w:rsidR="00005F4F" w:rsidRPr="00850CC8" w:rsidRDefault="00005F4F" w:rsidP="00850CC8">
      <w:pPr>
        <w:spacing w:line="276" w:lineRule="auto"/>
        <w:rPr>
          <w:rFonts w:ascii="Times New Roman" w:hAnsi="Times New Roman" w:cs="Times New Roman"/>
          <w:sz w:val="22"/>
          <w:szCs w:val="22"/>
        </w:rPr>
      </w:pPr>
    </w:p>
    <w:p w14:paraId="05516F0E" w14:textId="77777777" w:rsidR="00005F4F" w:rsidRPr="00850CC8" w:rsidRDefault="00005F4F"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The narrative also illustrates the indicative-imperative pattern identified in Chapter Five, though here it appears in a different way. The indicative is God’s disclosed commitment to justice and his willingness to spare the city for the sake of the righteous within it. The imperative, if it can be called that, is the implicit summons to the kind of intercession that Abraham models: the bold, relationship-grounded appeal to the character of God on behalf of those who cannot appeal for themselves. Abraham’s intercession is not a technique for manipulating divine decision-making. It is the proper exercise of the access that the covenant relationship opens, and its model is the relationship between God and his covenant partner rather than the relationship between a supplicant and an arbitrary sovereign.</w:t>
      </w:r>
      <w:r>
        <w:rPr>
          <w:rFonts w:ascii="Times New Roman" w:hAnsi="Times New Roman" w:cs="Times New Roman"/>
          <w:sz w:val="22"/>
          <w:szCs w:val="22"/>
          <w:vertAlign w:val="superscript"/>
        </w:rPr>
        <w:t>4</w:t>
      </w:r>
    </w:p>
    <w:p w14:paraId="201E2B8E" w14:textId="77777777" w:rsidR="00005F4F" w:rsidRPr="00850CC8" w:rsidRDefault="00005F4F" w:rsidP="00850CC8">
      <w:pPr>
        <w:spacing w:line="276" w:lineRule="auto"/>
        <w:rPr>
          <w:rFonts w:ascii="Times New Roman" w:hAnsi="Times New Roman" w:cs="Times New Roman"/>
          <w:sz w:val="22"/>
          <w:szCs w:val="22"/>
        </w:rPr>
      </w:pPr>
    </w:p>
    <w:p w14:paraId="4079AB49" w14:textId="77777777" w:rsidR="00005F4F" w:rsidRPr="00850CC8" w:rsidRDefault="00005F4F" w:rsidP="00850CC8">
      <w:pPr>
        <w:spacing w:before="480" w:after="240" w:line="276" w:lineRule="auto"/>
        <w:rPr>
          <w:rFonts w:ascii="Times New Roman" w:hAnsi="Times New Roman" w:cs="Times New Roman"/>
          <w:sz w:val="22"/>
          <w:szCs w:val="22"/>
        </w:rPr>
      </w:pPr>
      <w:r>
        <w:rPr>
          <w:rFonts w:ascii="Times New Roman" w:hAnsi="Times New Roman" w:cs="Times New Roman"/>
          <w:b/>
          <w:bCs/>
          <w:sz w:val="22"/>
          <w:szCs w:val="22"/>
        </w:rPr>
        <w:t>Rahab and the Logic of Relational Faith</w:t>
      </w:r>
    </w:p>
    <w:p w14:paraId="16ACEFC5" w14:textId="77777777" w:rsidR="00005F4F" w:rsidRPr="00850CC8" w:rsidRDefault="00005F4F" w:rsidP="00850CC8">
      <w:pPr>
        <w:spacing w:line="276" w:lineRule="auto"/>
        <w:jc w:val="both"/>
        <w:rPr>
          <w:rFonts w:ascii="Times New Roman" w:hAnsi="Times New Roman" w:cs="Times New Roman"/>
          <w:sz w:val="22"/>
          <w:szCs w:val="22"/>
        </w:rPr>
      </w:pPr>
      <w:r>
        <w:rPr>
          <w:rFonts w:ascii="Times New Roman" w:hAnsi="Times New Roman" w:cs="Times New Roman"/>
          <w:sz w:val="22"/>
          <w:szCs w:val="22"/>
        </w:rPr>
        <w:t>The story of Rahab in Joshua 2 and 6 presents the relational logic of the moral framework from a different angle. Where Abraham is already inside the covenant and exercises the access that covenant proximity provides, Rahab is, by every available category, outside. She is a Canaanite, a member of the people whose land Israel is in the process of claiming. She is a prostitute, a vocation that placed its practitioners at the margins of Israelite social acceptability. And she is a resident of Jericho, the first city to fall in the conquest narrative. By the categories that govern the herem command, there is no place for Rahab in any outcome except destruction.</w:t>
      </w:r>
    </w:p>
    <w:p w14:paraId="03770514" w14:textId="77777777" w:rsidR="00005F4F" w:rsidRPr="00850CC8" w:rsidRDefault="00005F4F" w:rsidP="00850CC8">
      <w:pPr>
        <w:spacing w:line="276" w:lineRule="auto"/>
        <w:rPr>
          <w:rFonts w:ascii="Times New Roman" w:hAnsi="Times New Roman" w:cs="Times New Roman"/>
          <w:sz w:val="22"/>
          <w:szCs w:val="22"/>
        </w:rPr>
      </w:pPr>
    </w:p>
    <w:p w14:paraId="080A7FB3" w14:textId="77777777" w:rsidR="00005F4F" w:rsidRPr="00850CC8" w:rsidRDefault="00005F4F"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What changes the outcome is not a revision of the general rule but the creation of a new relational reality. When the two Israelite spies arrive at Rahab’s house and she hides them from the king of Jericho’s search party, she is not simply performing a pragmatic calculation about which side is more likely to win the coming conflict. Her speech to the spies in Joshua 2:9–13 is a confession of theological conviction: “I know that the LORD has given you this land, and that a great fear of you has fallen upon us, and that all the inhabitants of the land melt away before you. For we have heard how the LORD dried up the water of the Red Sea before you when you came out of Egypt, and what you did to the two kings of the Amorites who were beyond the Jordan, to Sihon and Og, whom you devoted to destruction. And as soon as we heard it, our hearts melted, and there was no spirit left in any man because of you, for the LORD your God, he is God in the heavens above and on the earth beneath.”</w:t>
      </w:r>
    </w:p>
    <w:p w14:paraId="15D1A8AF" w14:textId="77777777" w:rsidR="00005F4F" w:rsidRPr="00850CC8" w:rsidRDefault="00005F4F" w:rsidP="00850CC8">
      <w:pPr>
        <w:spacing w:line="276" w:lineRule="auto"/>
        <w:rPr>
          <w:rFonts w:ascii="Times New Roman" w:hAnsi="Times New Roman" w:cs="Times New Roman"/>
          <w:sz w:val="22"/>
          <w:szCs w:val="22"/>
        </w:rPr>
      </w:pPr>
    </w:p>
    <w:p w14:paraId="2740ECF6" w14:textId="77777777" w:rsidR="00005F4F" w:rsidRPr="00850CC8" w:rsidRDefault="00005F4F"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 xml:space="preserve">The confession is remarkable for its specificity and its theology. Rahab does not simply acknowledge that Israel’s God is powerful. She acknowledges that he is the God “in the heavens above and on the earth beneath,” a formulation that echoes the monotheistic affirmations of Deuteronomy. She has </w:t>
        <w:lastRenderedPageBreak/>
        <w:t>heard the account of the exodus and the wilderness victories and has drawn from it a theological conclusion that most of her contemporaries, on the evidence of the text, have not drawn: that this God’s claim is universal and his purposes are unstoppable. Her confession is, in the categories of the biblical tradition, a confession of faith.</w:t>
      </w:r>
      <w:r>
        <w:rPr>
          <w:rFonts w:ascii="Times New Roman" w:hAnsi="Times New Roman" w:cs="Times New Roman"/>
          <w:sz w:val="22"/>
          <w:szCs w:val="22"/>
          <w:vertAlign w:val="superscript"/>
        </w:rPr>
        <w:t>5</w:t>
      </w:r>
    </w:p>
    <w:p w14:paraId="00CF535E" w14:textId="77777777" w:rsidR="00005F4F" w:rsidRPr="00850CC8" w:rsidRDefault="00005F4F" w:rsidP="00850CC8">
      <w:pPr>
        <w:spacing w:line="276" w:lineRule="auto"/>
        <w:rPr>
          <w:rFonts w:ascii="Times New Roman" w:hAnsi="Times New Roman" w:cs="Times New Roman"/>
          <w:sz w:val="22"/>
          <w:szCs w:val="22"/>
        </w:rPr>
      </w:pPr>
    </w:p>
    <w:p w14:paraId="2CBDE0E4" w14:textId="77777777" w:rsidR="00005F4F" w:rsidRPr="00850CC8" w:rsidRDefault="00005F4F"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 xml:space="preserve">On the basis of that confession, Rahab requests a corresponding commitment: “Now then, please swear to me by the LORD that, as I have dealt kindly with you, you also will deal kindly with my father’s house, and give me a sure sign that you will save alive my father and mother, my brothers and sisters, and all who belong to them, and deliver our lives from death” (Joshua 2:12–13). The word translated “kindly” is the Hebrew </w:t>
      </w:r>
      <w:r>
        <w:rPr>
          <w:rFonts w:ascii="Times New Roman" w:hAnsi="Times New Roman" w:cs="Times New Roman"/>
          <w:i/>
          <w:iCs/>
          <w:sz w:val="22"/>
          <w:szCs w:val="22"/>
        </w:rPr>
        <w:t>hesed</w:t>
      </w:r>
      <w:r>
        <w:rPr>
          <w:rFonts w:ascii="Times New Roman" w:hAnsi="Times New Roman" w:cs="Times New Roman"/>
          <w:sz w:val="22"/>
          <w:szCs w:val="22"/>
        </w:rPr>
        <w:t xml:space="preserve">, the covenant term for loyal love, the love that is appropriate between parties who stand in a committed relationship. Rahab is not asking for mercy on humanitarian grounds. She is invoking the logic of covenant: because she has acted with </w:t>
      </w:r>
      <w:r>
        <w:rPr>
          <w:rFonts w:ascii="Times New Roman" w:hAnsi="Times New Roman" w:cs="Times New Roman"/>
          <w:i/>
          <w:iCs/>
          <w:sz w:val="22"/>
          <w:szCs w:val="22"/>
        </w:rPr>
        <w:t>hesed</w:t>
      </w:r>
      <w:r>
        <w:rPr>
          <w:rFonts w:ascii="Times New Roman" w:hAnsi="Times New Roman" w:cs="Times New Roman"/>
          <w:sz w:val="22"/>
          <w:szCs w:val="22"/>
        </w:rPr>
        <w:t xml:space="preserve"> toward the spies, she is entitled to expect </w:t>
      </w:r>
      <w:r>
        <w:rPr>
          <w:rFonts w:ascii="Times New Roman" w:hAnsi="Times New Roman" w:cs="Times New Roman"/>
          <w:i/>
          <w:iCs/>
          <w:sz w:val="22"/>
          <w:szCs w:val="22"/>
        </w:rPr>
        <w:t>hesed</w:t>
      </w:r>
      <w:r>
        <w:rPr>
          <w:rFonts w:ascii="Times New Roman" w:hAnsi="Times New Roman" w:cs="Times New Roman"/>
          <w:sz w:val="22"/>
          <w:szCs w:val="22"/>
        </w:rPr>
        <w:t xml:space="preserve"> in return.</w:t>
      </w:r>
    </w:p>
    <w:p w14:paraId="0B6956F6" w14:textId="77777777" w:rsidR="00005F4F" w:rsidRPr="00850CC8" w:rsidRDefault="00005F4F" w:rsidP="00850CC8">
      <w:pPr>
        <w:spacing w:line="276" w:lineRule="auto"/>
        <w:rPr>
          <w:rFonts w:ascii="Times New Roman" w:hAnsi="Times New Roman" w:cs="Times New Roman"/>
          <w:sz w:val="22"/>
          <w:szCs w:val="22"/>
        </w:rPr>
      </w:pPr>
    </w:p>
    <w:p w14:paraId="6339C8F6" w14:textId="77777777" w:rsidR="00005F4F" w:rsidRPr="00850CC8" w:rsidRDefault="00005F4F"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The spies agree. The scarlet cord tied in the window becomes the sign that marks her household as exempt from the destruction that will fall on the rest of the city. When Jericho falls, Rahab and her household are brought out and placed outside the camp of Israel before the city is burned (Joshua 6:22–25). The text notes that “she has lived in Israel to this day” (6:25), and the New Testament traces her lineage into the ancestry of Jesus (Matthew 1:5).</w:t>
      </w:r>
      <w:r>
        <w:rPr>
          <w:rFonts w:ascii="Times New Roman" w:hAnsi="Times New Roman" w:cs="Times New Roman"/>
          <w:sz w:val="22"/>
          <w:szCs w:val="22"/>
          <w:vertAlign w:val="superscript"/>
        </w:rPr>
        <w:t>6</w:t>
      </w:r>
    </w:p>
    <w:p w14:paraId="3ADF604B" w14:textId="77777777" w:rsidR="00005F4F" w:rsidRPr="00850CC8" w:rsidRDefault="00005F4F" w:rsidP="00850CC8">
      <w:pPr>
        <w:spacing w:line="276" w:lineRule="auto"/>
        <w:rPr>
          <w:rFonts w:ascii="Times New Roman" w:hAnsi="Times New Roman" w:cs="Times New Roman"/>
          <w:sz w:val="22"/>
          <w:szCs w:val="22"/>
        </w:rPr>
      </w:pPr>
    </w:p>
    <w:p w14:paraId="267DF404" w14:textId="77777777" w:rsidR="00005F4F" w:rsidRPr="00850CC8" w:rsidRDefault="00005F4F" w:rsidP="00850CC8">
      <w:pPr>
        <w:spacing w:before="480" w:after="240" w:line="276" w:lineRule="auto"/>
        <w:rPr>
          <w:rFonts w:ascii="Times New Roman" w:hAnsi="Times New Roman" w:cs="Times New Roman"/>
          <w:sz w:val="22"/>
          <w:szCs w:val="22"/>
        </w:rPr>
      </w:pPr>
      <w:r>
        <w:rPr>
          <w:rFonts w:ascii="Times New Roman" w:hAnsi="Times New Roman" w:cs="Times New Roman"/>
          <w:b/>
          <w:bCs/>
          <w:sz w:val="22"/>
          <w:szCs w:val="22"/>
        </w:rPr>
        <w:t>The Moral Logic of Rahab’s Deliverance</w:t>
      </w:r>
    </w:p>
    <w:p w14:paraId="4906FDF7" w14:textId="77777777" w:rsidR="00005F4F" w:rsidRPr="00850CC8" w:rsidRDefault="00005F4F" w:rsidP="00850CC8">
      <w:pPr>
        <w:spacing w:line="276" w:lineRule="auto"/>
        <w:jc w:val="both"/>
        <w:rPr>
          <w:rFonts w:ascii="Times New Roman" w:hAnsi="Times New Roman" w:cs="Times New Roman"/>
          <w:sz w:val="22"/>
          <w:szCs w:val="22"/>
        </w:rPr>
      </w:pPr>
      <w:r>
        <w:rPr>
          <w:rFonts w:ascii="Times New Roman" w:hAnsi="Times New Roman" w:cs="Times New Roman"/>
          <w:sz w:val="22"/>
          <w:szCs w:val="22"/>
        </w:rPr>
        <w:t>What the Rahab narrative shows, when read through the lens of the framework developed in this book, is not an exception to the relational logic of the moral life but one of its most precise illustrations.</w:t>
      </w:r>
    </w:p>
    <w:p w14:paraId="2C49D5A2" w14:textId="77777777" w:rsidR="00005F4F" w:rsidRPr="00850CC8" w:rsidRDefault="00005F4F" w:rsidP="00850CC8">
      <w:pPr>
        <w:spacing w:line="276" w:lineRule="auto"/>
        <w:rPr>
          <w:rFonts w:ascii="Times New Roman" w:hAnsi="Times New Roman" w:cs="Times New Roman"/>
          <w:sz w:val="22"/>
          <w:szCs w:val="22"/>
        </w:rPr>
      </w:pPr>
    </w:p>
    <w:p w14:paraId="279566B8" w14:textId="77777777" w:rsidR="00005F4F" w:rsidRPr="00850CC8" w:rsidRDefault="00005F4F"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 xml:space="preserve">The general rule governing the conquest of Canaan was </w:t>
      </w:r>
      <w:r>
        <w:rPr>
          <w:rFonts w:ascii="Times New Roman" w:hAnsi="Times New Roman" w:cs="Times New Roman"/>
          <w:i/>
          <w:iCs/>
          <w:sz w:val="22"/>
          <w:szCs w:val="22"/>
        </w:rPr>
        <w:t>herem</w:t>
      </w:r>
      <w:r>
        <w:rPr>
          <w:rFonts w:ascii="Times New Roman" w:hAnsi="Times New Roman" w:cs="Times New Roman"/>
          <w:sz w:val="22"/>
          <w:szCs w:val="22"/>
        </w:rPr>
        <w:t>: the devotion of the city and its inhabitants to destruction. This rule was not arbitrary. It reflected the theological gravity of the situation: the land was being given to Israel as the space within which the purposes of God would be worked out, and the persistence of Canaanite religious practice within that space was a standing threat to those purposes. The rule expressed a real moral and theological concern.</w:t>
      </w:r>
    </w:p>
    <w:p w14:paraId="29926388" w14:textId="77777777" w:rsidR="00005F4F" w:rsidRPr="00850CC8" w:rsidRDefault="00005F4F" w:rsidP="00850CC8">
      <w:pPr>
        <w:spacing w:line="276" w:lineRule="auto"/>
        <w:rPr>
          <w:rFonts w:ascii="Times New Roman" w:hAnsi="Times New Roman" w:cs="Times New Roman"/>
          <w:sz w:val="22"/>
          <w:szCs w:val="22"/>
        </w:rPr>
      </w:pPr>
    </w:p>
    <w:p w14:paraId="70012535" w14:textId="77777777" w:rsidR="00005F4F" w:rsidRPr="00850CC8" w:rsidRDefault="00005F4F"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But the rule did not operate in a relational vacuum. When Rahab created a new relational reality by her act of faith and her extension of hesed to the spies, the terms of her situation changed. She was no longer simply a Canaanite woman in a doomed city. She was a person who had placed herself, by her own act of faith and covenant loyalty, within the sphere of Israel’s relational obligations. The spies could not honor the general rule in her case without violating the specific obligation that had been created by the specific transaction between them.</w:t>
      </w:r>
    </w:p>
    <w:p w14:paraId="76FD430F" w14:textId="77777777" w:rsidR="00005F4F" w:rsidRPr="00850CC8" w:rsidRDefault="00005F4F" w:rsidP="00850CC8">
      <w:pPr>
        <w:spacing w:line="276" w:lineRule="auto"/>
        <w:rPr>
          <w:rFonts w:ascii="Times New Roman" w:hAnsi="Times New Roman" w:cs="Times New Roman"/>
          <w:sz w:val="22"/>
          <w:szCs w:val="22"/>
        </w:rPr>
      </w:pPr>
    </w:p>
    <w:p w14:paraId="6D028A5C" w14:textId="77777777" w:rsidR="00005F4F" w:rsidRPr="00850CC8" w:rsidRDefault="00005F4F"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 xml:space="preserve">This is not moral inconsistency. It is the proper operation of an ethic grounded in love and responsive to relationship. Walton and others have argued that the </w:t>
      </w:r>
      <w:r>
        <w:rPr>
          <w:rFonts w:ascii="Times New Roman" w:hAnsi="Times New Roman" w:cs="Times New Roman"/>
          <w:i/>
          <w:iCs/>
          <w:sz w:val="22"/>
          <w:szCs w:val="22"/>
        </w:rPr>
        <w:t>herem</w:t>
      </w:r>
      <w:r>
        <w:rPr>
          <w:rFonts w:ascii="Times New Roman" w:hAnsi="Times New Roman" w:cs="Times New Roman"/>
          <w:sz w:val="22"/>
          <w:szCs w:val="22"/>
        </w:rPr>
        <w:t xml:space="preserve"> command in the conquest narratives must be understood within its ancient Near Eastern context as a function of Israel’s particular covenantal situation rather than as a universal moral rule applicable without regard to circumstance.</w:t>
      </w:r>
      <w:r>
        <w:rPr>
          <w:rFonts w:ascii="Times New Roman" w:hAnsi="Times New Roman" w:cs="Times New Roman"/>
          <w:sz w:val="22"/>
          <w:szCs w:val="22"/>
          <w:vertAlign w:val="superscript"/>
        </w:rPr>
        <w:t>7</w:t>
      </w:r>
      <w:r>
        <w:rPr>
          <w:rFonts w:ascii="Times New Roman" w:hAnsi="Times New Roman" w:cs="Times New Roman"/>
          <w:sz w:val="22"/>
          <w:szCs w:val="22"/>
        </w:rPr>
        <w:t xml:space="preserve"> The Rahab narrative confirms this reading from the inside of the text itself: even within the conquest context, </w:t>
        <w:lastRenderedPageBreak/>
        <w:t xml:space="preserve">the logic of relational proximity can and does override the general application of the </w:t>
      </w:r>
      <w:r>
        <w:rPr>
          <w:rFonts w:ascii="Times New Roman" w:hAnsi="Times New Roman" w:cs="Times New Roman"/>
          <w:i/>
          <w:iCs/>
          <w:sz w:val="22"/>
          <w:szCs w:val="22"/>
        </w:rPr>
        <w:t>herem</w:t>
      </w:r>
      <w:r>
        <w:rPr>
          <w:rFonts w:ascii="Times New Roman" w:hAnsi="Times New Roman" w:cs="Times New Roman"/>
          <w:sz w:val="22"/>
          <w:szCs w:val="22"/>
        </w:rPr>
        <w:t xml:space="preserve"> command when a new relational reality has been created by an act of faith.</w:t>
      </w:r>
    </w:p>
    <w:p w14:paraId="1582EBA1" w14:textId="77777777" w:rsidR="00005F4F" w:rsidRPr="00850CC8" w:rsidRDefault="00005F4F" w:rsidP="00850CC8">
      <w:pPr>
        <w:spacing w:line="276" w:lineRule="auto"/>
        <w:rPr>
          <w:rFonts w:ascii="Times New Roman" w:hAnsi="Times New Roman" w:cs="Times New Roman"/>
          <w:sz w:val="22"/>
          <w:szCs w:val="22"/>
        </w:rPr>
      </w:pPr>
    </w:p>
    <w:p w14:paraId="5A962ADF" w14:textId="77777777" w:rsidR="00005F4F" w:rsidRPr="00850CC8" w:rsidRDefault="00005F4F"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Chapter Three argued that moral obligation is the shape of a vocation, not the imposition of an alien demand. Rahab’s story illustrates this claim from an unexpected angle. The obligation the spies now bear toward Rahab and her household is not an alien imposition on their prior commitment to the conquest. It is the natural expression of what the covenant logic they represent actually requires when it encounters a person who has fully aligned herself with the God of the covenant. To have honored the herem command against Rahab after the transaction of Joshua 2 would not have been fidelity to the covenant. It would have been a betrayal of it.</w:t>
      </w:r>
    </w:p>
    <w:p w14:paraId="4DF78D5E" w14:textId="77777777" w:rsidR="00005F4F" w:rsidRPr="00850CC8" w:rsidRDefault="00005F4F" w:rsidP="00850CC8">
      <w:pPr>
        <w:spacing w:line="276" w:lineRule="auto"/>
        <w:rPr>
          <w:rFonts w:ascii="Times New Roman" w:hAnsi="Times New Roman" w:cs="Times New Roman"/>
          <w:sz w:val="22"/>
          <w:szCs w:val="22"/>
        </w:rPr>
      </w:pPr>
    </w:p>
    <w:p w14:paraId="2CF73F9E" w14:textId="77777777" w:rsidR="00005F4F" w:rsidRPr="00850CC8" w:rsidRDefault="00005F4F" w:rsidP="00850CC8">
      <w:pPr>
        <w:spacing w:before="480" w:after="240" w:line="276" w:lineRule="auto"/>
        <w:rPr>
          <w:rFonts w:ascii="Times New Roman" w:hAnsi="Times New Roman" w:cs="Times New Roman"/>
          <w:sz w:val="22"/>
          <w:szCs w:val="22"/>
        </w:rPr>
      </w:pPr>
      <w:r>
        <w:rPr>
          <w:rFonts w:ascii="Times New Roman" w:hAnsi="Times New Roman" w:cs="Times New Roman"/>
          <w:b/>
          <w:bCs/>
          <w:sz w:val="22"/>
          <w:szCs w:val="22"/>
        </w:rPr>
        <w:t>Two Narratives, One Logic</w:t>
      </w:r>
    </w:p>
    <w:p w14:paraId="24505C87" w14:textId="77777777" w:rsidR="00005F4F" w:rsidRPr="00850CC8" w:rsidRDefault="00005F4F" w:rsidP="00850CC8">
      <w:pPr>
        <w:spacing w:line="276" w:lineRule="auto"/>
        <w:jc w:val="both"/>
        <w:rPr>
          <w:rFonts w:ascii="Times New Roman" w:hAnsi="Times New Roman" w:cs="Times New Roman"/>
          <w:sz w:val="22"/>
          <w:szCs w:val="22"/>
        </w:rPr>
      </w:pPr>
      <w:r>
        <w:rPr>
          <w:rFonts w:ascii="Times New Roman" w:hAnsi="Times New Roman" w:cs="Times New Roman"/>
          <w:sz w:val="22"/>
          <w:szCs w:val="22"/>
        </w:rPr>
        <w:t>Abraham’s intercession and Rahab’s deliverance are very different stories, and it would be a mistake to flatten their differences in the interest of a tidy theoretical point. Abraham is a covenant insider pressing an argument grounded in divine character; Rahab is a covenant outsider whose act of faith creates a new relational reality from nothing. Abraham is working within an established relationship; Rahab is initiating one. The moral weight Abraham carries into the conversation with God is the accumulated weight of a long covenant history; the moral weight Rahab carries is the weight of a single decisive act.</w:t>
      </w:r>
    </w:p>
    <w:p w14:paraId="39FA6F80" w14:textId="77777777" w:rsidR="00005F4F" w:rsidRPr="00850CC8" w:rsidRDefault="00005F4F" w:rsidP="00850CC8">
      <w:pPr>
        <w:spacing w:line="276" w:lineRule="auto"/>
        <w:rPr>
          <w:rFonts w:ascii="Times New Roman" w:hAnsi="Times New Roman" w:cs="Times New Roman"/>
          <w:sz w:val="22"/>
          <w:szCs w:val="22"/>
        </w:rPr>
      </w:pPr>
    </w:p>
    <w:p w14:paraId="57944DC7" w14:textId="77777777" w:rsidR="00005F4F" w:rsidRPr="00850CC8" w:rsidRDefault="00005F4F"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But the underlying logic that governs both narratives is the same, and it is the logic that has been developed throughout this book. Relational proximity is a primary moral determinant, not a peripheral one. The access Abraham has to God, the hesed the spies owe to Rahab, the mercy extended to Lot, the ancestry traced through Rahab to the Messiah: all of these are functions of specific relationships with specific histories, and all of them follow the relational logic of a God whose inner life is constituted by the perichoretic love described in Chapter Two.</w:t>
      </w:r>
    </w:p>
    <w:p w14:paraId="6F78A1AF" w14:textId="77777777" w:rsidR="00005F4F" w:rsidRPr="00850CC8" w:rsidRDefault="00005F4F" w:rsidP="00850CC8">
      <w:pPr>
        <w:spacing w:line="276" w:lineRule="auto"/>
        <w:rPr>
          <w:rFonts w:ascii="Times New Roman" w:hAnsi="Times New Roman" w:cs="Times New Roman"/>
          <w:sz w:val="22"/>
          <w:szCs w:val="22"/>
        </w:rPr>
      </w:pPr>
    </w:p>
    <w:p w14:paraId="01DFA0FA" w14:textId="77777777" w:rsidR="00005F4F" w:rsidRPr="00850CC8" w:rsidRDefault="00005F4F"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Neither narrative is a comfortable one. Abraham’s intercession does not save Sodom; the city is destroyed because the negotiated condition cannot be met. Rahab’s faith saves her household but does not prevent the destruction of the city in which she lives. The moral framework being developed in this book does not promise comfortable outcomes. It promises a coherent account of how love operates under the conditions that actually obtain in a world distorted by sin, where mercy and judgment are not alternatives but aspects of a single divine engagement with the persistent resistance of creaturely rebellion.</w:t>
      </w:r>
      <w:r>
        <w:rPr>
          <w:rFonts w:ascii="Times New Roman" w:hAnsi="Times New Roman" w:cs="Times New Roman"/>
          <w:sz w:val="22"/>
          <w:szCs w:val="22"/>
          <w:vertAlign w:val="superscript"/>
        </w:rPr>
        <w:t>8</w:t>
      </w:r>
    </w:p>
    <w:p w14:paraId="7B2F4798" w14:textId="77777777" w:rsidR="00005F4F" w:rsidRPr="00850CC8" w:rsidRDefault="00005F4F" w:rsidP="00850CC8">
      <w:pPr>
        <w:spacing w:line="276" w:lineRule="auto"/>
        <w:rPr>
          <w:rFonts w:ascii="Times New Roman" w:hAnsi="Times New Roman" w:cs="Times New Roman"/>
          <w:sz w:val="22"/>
          <w:szCs w:val="22"/>
        </w:rPr>
      </w:pPr>
    </w:p>
    <w:p w14:paraId="5FDA9BF0" w14:textId="77777777" w:rsidR="00005F4F" w:rsidRPr="00850CC8" w:rsidRDefault="00005F4F"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 xml:space="preserve">What these narratives together demonstrate is that the grammar of love described in Chapter Five is not a neat theoretical construction that breaks down when it meets the messiness of actual history. It is operative within that messiness, shaping outcomes in ways that are responsive to the particular texture of particular relationships rather than the mechanical application of universal rules. The God of Genesis 18 and Joshua 2 is the same God whose inner life was described in Chapter Two and whose image was traced in Chapter Three. He acts consistently with his character, but his character is relational, and relational consistency looks different from algorithmic consistency. It looks, to use the frame this book has been building toward, like the character of the God for whom the world was always a theatre of self-revelation: </w:t>
        <w:lastRenderedPageBreak/>
        <w:t>a God who works through particular relationships and particular acts of faith, displaying in the grain of creaturely events the same self-giving love that constitutes his eternal life.</w:t>
      </w:r>
    </w:p>
    <w:p w14:paraId="609D318F" w14:textId="77777777" w:rsidR="00005F4F" w:rsidRPr="00850CC8" w:rsidRDefault="00005F4F" w:rsidP="00850CC8">
      <w:pPr>
        <w:spacing w:line="276" w:lineRule="auto"/>
        <w:rPr>
          <w:rFonts w:ascii="Times New Roman" w:hAnsi="Times New Roman" w:cs="Times New Roman"/>
          <w:sz w:val="22"/>
          <w:szCs w:val="22"/>
        </w:rPr>
      </w:pPr>
    </w:p>
    <w:p w14:paraId="09831FF5" w14:textId="77777777" w:rsidR="00005F4F" w:rsidRPr="00850CC8" w:rsidRDefault="00005F4F" w:rsidP="00850CC8">
      <w:pPr>
        <w:spacing w:before="480" w:after="240" w:line="276" w:lineRule="auto"/>
        <w:rPr>
          <w:rFonts w:ascii="Times New Roman" w:hAnsi="Times New Roman" w:cs="Times New Roman"/>
          <w:sz w:val="22"/>
          <w:szCs w:val="22"/>
        </w:rPr>
      </w:pPr>
      <w:r>
        <w:rPr>
          <w:rFonts w:ascii="Times New Roman" w:hAnsi="Times New Roman" w:cs="Times New Roman"/>
          <w:b/>
          <w:bCs/>
          <w:sz w:val="22"/>
          <w:szCs w:val="22"/>
        </w:rPr>
        <w:t>Looking Ahead</w:t>
      </w:r>
    </w:p>
    <w:p w14:paraId="066DA7CA" w14:textId="77777777" w:rsidR="00005F4F" w:rsidRPr="00850CC8" w:rsidRDefault="00005F4F" w:rsidP="00850CC8">
      <w:pPr>
        <w:spacing w:line="276" w:lineRule="auto"/>
        <w:jc w:val="both"/>
        <w:rPr>
          <w:rFonts w:ascii="Times New Roman" w:hAnsi="Times New Roman" w:cs="Times New Roman"/>
          <w:sz w:val="22"/>
          <w:szCs w:val="22"/>
        </w:rPr>
      </w:pPr>
      <w:r>
        <w:rPr>
          <w:rFonts w:ascii="Times New Roman" w:hAnsi="Times New Roman" w:cs="Times New Roman"/>
          <w:sz w:val="22"/>
          <w:szCs w:val="22"/>
        </w:rPr>
        <w:t>Chapter Seven takes up the harder edge of the same material. The narratives of Abraham and Rahab are, in a sense, the hopeful face of the relational logic: they show what happens when faith creates new relational realities and when covenant proximity generates access and protection that would not otherwise exist. But the same logic that governs these narratives also governs the narratives of persistent refusal, the long centuries during which the Amorites accumulated their iniquity while God waited, the cities of Canaan that received no Rahab and produced no act of faith to create a new relational possibility.</w:t>
      </w:r>
    </w:p>
    <w:p w14:paraId="37CAA32F" w14:textId="77777777" w:rsidR="00005F4F" w:rsidRPr="00850CC8" w:rsidRDefault="00005F4F" w:rsidP="00850CC8">
      <w:pPr>
        <w:spacing w:line="276" w:lineRule="auto"/>
        <w:rPr>
          <w:rFonts w:ascii="Times New Roman" w:hAnsi="Times New Roman" w:cs="Times New Roman"/>
          <w:sz w:val="22"/>
          <w:szCs w:val="22"/>
        </w:rPr>
      </w:pPr>
    </w:p>
    <w:p w14:paraId="73E321C1" w14:textId="77777777" w:rsidR="00005F4F" w:rsidRPr="00850CC8" w:rsidRDefault="00005F4F"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Those narratives are harder to read and harder to interpret, and the framework developed in this book does not make them easy. What it does is provide a way of reading them that is consistent with the character of the God revealed in Genesis 18 and Joshua 2, and that takes seriously both the moral gravity of persistent evil and the moral character of the God who responds to it. That is the task of Chapter Seven.</w:t>
      </w:r>
    </w:p>
    <w:p w14:paraId="6B92E797" w14:textId="77777777" w:rsidR="00005F4F" w:rsidRPr="00850CC8" w:rsidRDefault="00005F4F" w:rsidP="00850CC8">
      <w:pPr>
        <w:spacing w:line="276" w:lineRule="auto"/>
        <w:rPr>
          <w:rFonts w:ascii="Times New Roman" w:hAnsi="Times New Roman" w:cs="Times New Roman"/>
          <w:sz w:val="22"/>
          <w:szCs w:val="22"/>
        </w:rPr>
      </w:pPr>
    </w:p>
    <w:p w14:paraId="7DCB7D12" w14:textId="77777777" w:rsidR="00005F4F" w:rsidRPr="00850CC8" w:rsidRDefault="00005F4F" w:rsidP="00850CC8">
      <w:pPr>
        <w:spacing w:line="276" w:lineRule="auto"/>
        <w:rPr>
          <w:rFonts w:ascii="Times New Roman" w:hAnsi="Times New Roman" w:cs="Times New Roman"/>
          <w:sz w:val="22"/>
          <w:szCs w:val="22"/>
        </w:rPr>
      </w:pPr>
    </w:p>
    <w:p w14:paraId="028A0711" w14:textId="77777777" w:rsidR="00005F4F" w:rsidRPr="00850CC8" w:rsidRDefault="00005F4F" w:rsidP="00850CC8">
      <w:pPr>
        <w:spacing w:before="480" w:after="240" w:line="276" w:lineRule="auto"/>
        <w:rPr>
          <w:rFonts w:ascii="Times New Roman" w:hAnsi="Times New Roman" w:cs="Times New Roman"/>
          <w:sz w:val="22"/>
          <w:szCs w:val="22"/>
        </w:rPr>
      </w:pPr>
      <w:r>
        <w:rPr>
          <w:rFonts w:ascii="Times New Roman" w:hAnsi="Times New Roman" w:cs="Times New Roman"/>
          <w:b/>
          <w:bCs/>
          <w:sz w:val="22"/>
          <w:szCs w:val="22"/>
        </w:rPr>
        <w:t>Notes</w:t>
      </w:r>
    </w:p>
    <w:p w14:paraId="043DBD78" w14:textId="77777777" w:rsidR="00005F4F" w:rsidRPr="00850CC8" w:rsidRDefault="00005F4F" w:rsidP="00850CC8">
      <w:pPr>
        <w:spacing w:before="120" w:line="276" w:lineRule="auto"/>
        <w:ind w:firstLine="720"/>
        <w:jc w:val="both"/>
        <w:rPr>
          <w:rFonts w:ascii="Times New Roman" w:hAnsi="Times New Roman" w:cs="Times New Roman"/>
          <w:sz w:val="22"/>
          <w:szCs w:val="22"/>
        </w:rPr>
      </w:pPr>
      <w:r>
        <w:rPr>
          <w:rFonts w:ascii="Times New Roman" w:hAnsi="Times New Roman" w:cs="Times New Roman"/>
          <w:sz w:val="22"/>
          <w:szCs w:val="22"/>
        </w:rPr>
        <w:t xml:space="preserve">1. R. W. L. Moberly, </w:t>
      </w:r>
      <w:r>
        <w:rPr>
          <w:rFonts w:ascii="Times New Roman" w:hAnsi="Times New Roman" w:cs="Times New Roman"/>
          <w:i/>
          <w:iCs/>
          <w:sz w:val="22"/>
          <w:szCs w:val="22"/>
        </w:rPr>
        <w:t>The Theology of the Book of Genesis</w:t>
      </w:r>
      <w:r>
        <w:rPr>
          <w:rFonts w:ascii="Times New Roman" w:hAnsi="Times New Roman" w:cs="Times New Roman"/>
          <w:sz w:val="22"/>
          <w:szCs w:val="22"/>
        </w:rPr>
        <w:t xml:space="preserve"> (Cambridge: Cambridge University Press, 2009), 124–128. Moberly’s reading of Genesis 18 situates the disclosure of divine intention to Abraham within the broader context of prophetic vocation in the Hebrew Bible, noting that Amos 3:7 (“Surely the Lord God does nothing without revealing his secret to his servants the prophets”) provides the theological framework within which the scene makes sense. For a complementary reading that focuses on Abraham’s role as intercessor, see Claus Westermann, </w:t>
      </w:r>
      <w:r>
        <w:rPr>
          <w:rFonts w:ascii="Times New Roman" w:hAnsi="Times New Roman" w:cs="Times New Roman"/>
          <w:i/>
          <w:iCs/>
          <w:sz w:val="22"/>
          <w:szCs w:val="22"/>
        </w:rPr>
        <w:t>Genesis 12–36: A Commentary</w:t>
      </w:r>
      <w:r>
        <w:rPr>
          <w:rFonts w:ascii="Times New Roman" w:hAnsi="Times New Roman" w:cs="Times New Roman"/>
          <w:sz w:val="22"/>
          <w:szCs w:val="22"/>
        </w:rPr>
        <w:t>, trans. John J. Scullion (Minneapolis: Augsburg, 1985), 279–290.</w:t>
      </w:r>
    </w:p>
    <w:p w14:paraId="4F9A511A" w14:textId="77777777" w:rsidR="00005F4F" w:rsidRPr="00850CC8" w:rsidRDefault="00005F4F" w:rsidP="00850CC8">
      <w:pPr>
        <w:spacing w:line="276" w:lineRule="auto"/>
        <w:rPr>
          <w:rFonts w:ascii="Times New Roman" w:hAnsi="Times New Roman" w:cs="Times New Roman"/>
          <w:sz w:val="22"/>
          <w:szCs w:val="22"/>
        </w:rPr>
      </w:pPr>
    </w:p>
    <w:p w14:paraId="6E263F3B" w14:textId="77777777" w:rsidR="00005F4F" w:rsidRPr="00850CC8" w:rsidRDefault="00005F4F" w:rsidP="00850CC8">
      <w:pPr>
        <w:spacing w:before="120" w:line="276" w:lineRule="auto"/>
        <w:ind w:firstLine="720"/>
        <w:jc w:val="both"/>
        <w:rPr>
          <w:rFonts w:ascii="Times New Roman" w:hAnsi="Times New Roman" w:cs="Times New Roman"/>
          <w:sz w:val="22"/>
          <w:szCs w:val="22"/>
        </w:rPr>
      </w:pPr>
      <w:r>
        <w:rPr>
          <w:rFonts w:ascii="Times New Roman" w:hAnsi="Times New Roman" w:cs="Times New Roman"/>
          <w:sz w:val="22"/>
          <w:szCs w:val="22"/>
        </w:rPr>
        <w:t xml:space="preserve">2. The reflexive character of Abraham’s argument, its appeal to God’s own disclosed character as the normative measure for what the situation requires, has been noted by a number of interpreters. Walter Brueggemann, </w:t>
      </w:r>
      <w:r>
        <w:rPr>
          <w:rFonts w:ascii="Times New Roman" w:hAnsi="Times New Roman" w:cs="Times New Roman"/>
          <w:i/>
          <w:iCs/>
          <w:sz w:val="22"/>
          <w:szCs w:val="22"/>
        </w:rPr>
        <w:t>Genesis</w:t>
      </w:r>
      <w:r>
        <w:rPr>
          <w:rFonts w:ascii="Times New Roman" w:hAnsi="Times New Roman" w:cs="Times New Roman"/>
          <w:sz w:val="22"/>
          <w:szCs w:val="22"/>
        </w:rPr>
        <w:t xml:space="preserve">, Interpretation (Atlanta: John Knox, 1982), 166–167, describes the exchange as an instance of “covenant boldness” in which Abraham holds God to his own stated commitments. Gordon J. Wenham, </w:t>
      </w:r>
      <w:r>
        <w:rPr>
          <w:rFonts w:ascii="Times New Roman" w:hAnsi="Times New Roman" w:cs="Times New Roman"/>
          <w:i/>
          <w:iCs/>
          <w:sz w:val="22"/>
          <w:szCs w:val="22"/>
        </w:rPr>
        <w:t>Genesis 16–50</w:t>
      </w:r>
      <w:r>
        <w:rPr>
          <w:rFonts w:ascii="Times New Roman" w:hAnsi="Times New Roman" w:cs="Times New Roman"/>
          <w:sz w:val="22"/>
          <w:szCs w:val="22"/>
        </w:rPr>
        <w:t>, Word Biblical Commentary (Dallas: Word Books, 1994), 50–51, notes that the formulation “Shall not the Judge of all the earth do what is just?” is not a challenge to divine authority but an appeal to divine identity, drawing on the characterization of God as judge that is already present in the Abrahamic tradition.</w:t>
      </w:r>
    </w:p>
    <w:p w14:paraId="4C54A176" w14:textId="77777777" w:rsidR="00005F4F" w:rsidRPr="00850CC8" w:rsidRDefault="00005F4F" w:rsidP="00850CC8">
      <w:pPr>
        <w:spacing w:line="276" w:lineRule="auto"/>
        <w:rPr>
          <w:rFonts w:ascii="Times New Roman" w:hAnsi="Times New Roman" w:cs="Times New Roman"/>
          <w:sz w:val="22"/>
          <w:szCs w:val="22"/>
        </w:rPr>
      </w:pPr>
    </w:p>
    <w:p w14:paraId="65C2FC6A" w14:textId="77777777" w:rsidR="00005F4F" w:rsidRPr="00850CC8" w:rsidRDefault="00005F4F" w:rsidP="00850CC8">
      <w:pPr>
        <w:spacing w:before="120" w:line="276" w:lineRule="auto"/>
        <w:ind w:firstLine="720"/>
        <w:jc w:val="both"/>
        <w:rPr>
          <w:rFonts w:ascii="Times New Roman" w:hAnsi="Times New Roman" w:cs="Times New Roman"/>
          <w:sz w:val="22"/>
          <w:szCs w:val="22"/>
        </w:rPr>
      </w:pPr>
      <w:r>
        <w:rPr>
          <w:rFonts w:ascii="Times New Roman" w:hAnsi="Times New Roman" w:cs="Times New Roman"/>
          <w:sz w:val="22"/>
          <w:szCs w:val="22"/>
        </w:rPr>
        <w:t xml:space="preserve">3. The Exodus 34:6–7 characterization of God as “slow to anger and abounding in steadfast love” is described by some scholars as the central theological statement of the Hebrew Bible. John Goldingay, </w:t>
      </w:r>
      <w:r>
        <w:rPr>
          <w:rFonts w:ascii="Times New Roman" w:hAnsi="Times New Roman" w:cs="Times New Roman"/>
          <w:i/>
          <w:iCs/>
          <w:sz w:val="22"/>
          <w:szCs w:val="22"/>
        </w:rPr>
        <w:t>Old Testament Theology, vol. 1: Israel’s Gospel</w:t>
      </w:r>
      <w:r>
        <w:rPr>
          <w:rFonts w:ascii="Times New Roman" w:hAnsi="Times New Roman" w:cs="Times New Roman"/>
          <w:sz w:val="22"/>
          <w:szCs w:val="22"/>
        </w:rPr>
        <w:t xml:space="preserve"> (Downers Grove: IVP Academic, 2003), 164–168, argues </w:t>
        <w:lastRenderedPageBreak/>
        <w:t>that this formula functions as a kind of theological refrain throughout the Hebrew Bible, appearing in whole or in part in Nehemiah 9, Psalms 86, 103, 145, Joel 2, Jonah 4, Micah 7, and Nahum 1, and providing the normative description of the divine character against which all specific divine actions are to be assessed.</w:t>
      </w:r>
    </w:p>
    <w:p w14:paraId="045A5277" w14:textId="77777777" w:rsidR="00005F4F" w:rsidRPr="00850CC8" w:rsidRDefault="00005F4F" w:rsidP="00850CC8">
      <w:pPr>
        <w:spacing w:line="276" w:lineRule="auto"/>
        <w:rPr>
          <w:rFonts w:ascii="Times New Roman" w:hAnsi="Times New Roman" w:cs="Times New Roman"/>
          <w:sz w:val="22"/>
          <w:szCs w:val="22"/>
        </w:rPr>
      </w:pPr>
    </w:p>
    <w:p w14:paraId="181A5E8C" w14:textId="77777777" w:rsidR="00005F4F" w:rsidRPr="00850CC8" w:rsidRDefault="00005F4F" w:rsidP="00850CC8">
      <w:pPr>
        <w:spacing w:before="120" w:line="276" w:lineRule="auto"/>
        <w:ind w:firstLine="720"/>
        <w:jc w:val="both"/>
        <w:rPr>
          <w:rFonts w:ascii="Times New Roman" w:hAnsi="Times New Roman" w:cs="Times New Roman"/>
          <w:sz w:val="22"/>
          <w:szCs w:val="22"/>
        </w:rPr>
      </w:pPr>
      <w:r>
        <w:rPr>
          <w:rFonts w:ascii="Times New Roman" w:hAnsi="Times New Roman" w:cs="Times New Roman"/>
          <w:sz w:val="22"/>
          <w:szCs w:val="22"/>
        </w:rPr>
        <w:t xml:space="preserve">4. The character of Abraham’s intercession as covenant boldness rather than presumption is developed with particular care in Terence E. Fretheim, </w:t>
      </w:r>
      <w:r>
        <w:rPr>
          <w:rFonts w:ascii="Times New Roman" w:hAnsi="Times New Roman" w:cs="Times New Roman"/>
          <w:i/>
          <w:iCs/>
          <w:sz w:val="22"/>
          <w:szCs w:val="22"/>
        </w:rPr>
        <w:t>Abraham: Trials of Family and Faith</w:t>
      </w:r>
      <w:r>
        <w:rPr>
          <w:rFonts w:ascii="Times New Roman" w:hAnsi="Times New Roman" w:cs="Times New Roman"/>
          <w:sz w:val="22"/>
          <w:szCs w:val="22"/>
        </w:rPr>
        <w:t xml:space="preserve"> (Columbia: University of South Carolina Press, 2007), 88–94. Fretheim argues that intercession in the biblical tradition is consistently grounded in the intercessor’s relational standing with God and is directed toward God’s own disclosed purposes, rather than being an attempt to persuade God to act against his own inclinations. The intercessor, on this reading, is not overcoming divine reluctance but participating in the divine deliberative process that the covenant relationship makes available.</w:t>
      </w:r>
    </w:p>
    <w:p w14:paraId="46A9E6FE" w14:textId="77777777" w:rsidR="00005F4F" w:rsidRPr="00850CC8" w:rsidRDefault="00005F4F" w:rsidP="00850CC8">
      <w:pPr>
        <w:spacing w:line="276" w:lineRule="auto"/>
        <w:rPr>
          <w:rFonts w:ascii="Times New Roman" w:hAnsi="Times New Roman" w:cs="Times New Roman"/>
          <w:sz w:val="22"/>
          <w:szCs w:val="22"/>
        </w:rPr>
      </w:pPr>
    </w:p>
    <w:p w14:paraId="7F0F78B5" w14:textId="77777777" w:rsidR="00005F4F" w:rsidRPr="00850CC8" w:rsidRDefault="00005F4F" w:rsidP="00850CC8">
      <w:pPr>
        <w:spacing w:before="120" w:line="276" w:lineRule="auto"/>
        <w:ind w:firstLine="720"/>
        <w:jc w:val="both"/>
        <w:rPr>
          <w:rFonts w:ascii="Times New Roman" w:hAnsi="Times New Roman" w:cs="Times New Roman"/>
          <w:sz w:val="22"/>
          <w:szCs w:val="22"/>
        </w:rPr>
      </w:pPr>
      <w:r>
        <w:rPr>
          <w:rFonts w:ascii="Times New Roman" w:hAnsi="Times New Roman" w:cs="Times New Roman"/>
          <w:sz w:val="22"/>
          <w:szCs w:val="22"/>
        </w:rPr>
        <w:t xml:space="preserve">5. The theological significance of Rahab’s confession has been widely noted. L. Daniel Hawk, </w:t>
      </w:r>
      <w:r>
        <w:rPr>
          <w:rFonts w:ascii="Times New Roman" w:hAnsi="Times New Roman" w:cs="Times New Roman"/>
          <w:i/>
          <w:iCs/>
          <w:sz w:val="22"/>
          <w:szCs w:val="22"/>
        </w:rPr>
        <w:t>Joshua</w:t>
      </w:r>
      <w:r>
        <w:rPr>
          <w:rFonts w:ascii="Times New Roman" w:hAnsi="Times New Roman" w:cs="Times New Roman"/>
          <w:sz w:val="22"/>
          <w:szCs w:val="22"/>
        </w:rPr>
        <w:t xml:space="preserve">, Berit Olam (Collegeville: Liturgical Press, 2000), 44–48, argues that Rahab’s speech in Joshua 2:9–13 is the most theologically articulate statement in the entire book of Joshua, and that its placement at the opening of the conquest narrative is deliberate: it establishes from the outset that the God whose purposes are being worked out in the conquest is the God whose identity Rahab has recognized and confessed. For the parallels between Rahab’s confession and Deuteronomic theology, see Richard S. Hess, </w:t>
      </w:r>
      <w:r>
        <w:rPr>
          <w:rFonts w:ascii="Times New Roman" w:hAnsi="Times New Roman" w:cs="Times New Roman"/>
          <w:i/>
          <w:iCs/>
          <w:sz w:val="22"/>
          <w:szCs w:val="22"/>
        </w:rPr>
        <w:t>Joshua: An Introduction and Commentary</w:t>
      </w:r>
      <w:r>
        <w:rPr>
          <w:rFonts w:ascii="Times New Roman" w:hAnsi="Times New Roman" w:cs="Times New Roman"/>
          <w:sz w:val="22"/>
          <w:szCs w:val="22"/>
        </w:rPr>
        <w:t>, Tyndale Old Testament Commentaries (Downers Grove: IVP, 1996), 82–85.</w:t>
      </w:r>
    </w:p>
    <w:p w14:paraId="0F96C12D" w14:textId="77777777" w:rsidR="00005F4F" w:rsidRPr="00850CC8" w:rsidRDefault="00005F4F" w:rsidP="00850CC8">
      <w:pPr>
        <w:spacing w:line="276" w:lineRule="auto"/>
        <w:rPr>
          <w:rFonts w:ascii="Times New Roman" w:hAnsi="Times New Roman" w:cs="Times New Roman"/>
          <w:sz w:val="22"/>
          <w:szCs w:val="22"/>
        </w:rPr>
      </w:pPr>
    </w:p>
    <w:p w14:paraId="257D93EC" w14:textId="77777777" w:rsidR="00005F4F" w:rsidRPr="00850CC8" w:rsidRDefault="00005F4F" w:rsidP="00850CC8">
      <w:pPr>
        <w:spacing w:before="120" w:line="276" w:lineRule="auto"/>
        <w:ind w:firstLine="720"/>
        <w:jc w:val="both"/>
        <w:rPr>
          <w:rFonts w:ascii="Times New Roman" w:hAnsi="Times New Roman" w:cs="Times New Roman"/>
          <w:sz w:val="22"/>
          <w:szCs w:val="22"/>
        </w:rPr>
      </w:pPr>
      <w:r>
        <w:rPr>
          <w:rFonts w:ascii="Times New Roman" w:hAnsi="Times New Roman" w:cs="Times New Roman"/>
          <w:sz w:val="22"/>
          <w:szCs w:val="22"/>
        </w:rPr>
        <w:t xml:space="preserve">6. The inclusion of Rahab in the Matthean genealogy of Jesus (Matthew 1:5) has generated significant scholarly discussion, partly because her name does not appear in the Old Testament genealogical lists from which Matthew is working. For a careful treatment, see R. T. France, </w:t>
      </w:r>
      <w:r>
        <w:rPr>
          <w:rFonts w:ascii="Times New Roman" w:hAnsi="Times New Roman" w:cs="Times New Roman"/>
          <w:i/>
          <w:iCs/>
          <w:sz w:val="22"/>
          <w:szCs w:val="22"/>
        </w:rPr>
        <w:t>The Gospel of Matthew</w:t>
      </w:r>
      <w:r>
        <w:rPr>
          <w:rFonts w:ascii="Times New Roman" w:hAnsi="Times New Roman" w:cs="Times New Roman"/>
          <w:sz w:val="22"/>
          <w:szCs w:val="22"/>
        </w:rPr>
        <w:t>, New International Commentary on the New Testament (Grand Rapids: Eerdmans, 2007), 34–36. France argues that Matthew’s inclusion of Rahab, along with Tamar, Ruth, and the wife of Uriah, is theologically deliberate: each of these women represents a disruption of the expected lineage that points toward the inclusive purposes of the God whose Messiah the genealogy is tracing. The Epistle to the Hebrews cites Rahab among the heroes of faith (Hebrews 11:31) on the basis of her reception of the spies, and the Epistle of James (James 2:25) cites her as an example of faith demonstrated by works.</w:t>
      </w:r>
    </w:p>
    <w:p w14:paraId="5DA07D87" w14:textId="77777777" w:rsidR="00005F4F" w:rsidRPr="00850CC8" w:rsidRDefault="00005F4F" w:rsidP="00850CC8">
      <w:pPr>
        <w:spacing w:line="276" w:lineRule="auto"/>
        <w:rPr>
          <w:rFonts w:ascii="Times New Roman" w:hAnsi="Times New Roman" w:cs="Times New Roman"/>
          <w:sz w:val="22"/>
          <w:szCs w:val="22"/>
        </w:rPr>
      </w:pPr>
    </w:p>
    <w:p w14:paraId="70FC981B" w14:textId="77777777" w:rsidR="00005F4F" w:rsidRPr="00850CC8" w:rsidRDefault="00005F4F" w:rsidP="00850CC8">
      <w:pPr>
        <w:spacing w:before="120" w:line="276" w:lineRule="auto"/>
        <w:ind w:firstLine="720"/>
        <w:jc w:val="both"/>
        <w:rPr>
          <w:rFonts w:ascii="Times New Roman" w:hAnsi="Times New Roman" w:cs="Times New Roman"/>
          <w:sz w:val="22"/>
          <w:szCs w:val="22"/>
        </w:rPr>
      </w:pPr>
      <w:r>
        <w:rPr>
          <w:rFonts w:ascii="Times New Roman" w:hAnsi="Times New Roman" w:cs="Times New Roman"/>
          <w:sz w:val="22"/>
          <w:szCs w:val="22"/>
        </w:rPr>
        <w:t xml:space="preserve">7. John H. Walton, </w:t>
      </w:r>
      <w:r>
        <w:rPr>
          <w:rFonts w:ascii="Times New Roman" w:hAnsi="Times New Roman" w:cs="Times New Roman"/>
          <w:i/>
          <w:iCs/>
          <w:sz w:val="22"/>
          <w:szCs w:val="22"/>
        </w:rPr>
        <w:t>The Lost World of the Israelite Conquest: Covenant, Retribution, and the Fate of the Canaanites</w:t>
      </w:r>
      <w:r>
        <w:rPr>
          <w:rFonts w:ascii="Times New Roman" w:hAnsi="Times New Roman" w:cs="Times New Roman"/>
          <w:sz w:val="22"/>
          <w:szCs w:val="22"/>
        </w:rPr>
        <w:t xml:space="preserve"> (Downers Grove: IVP Academic, 2017), 11–29. Walton’s argument that the </w:t>
      </w:r>
      <w:r>
        <w:rPr>
          <w:rFonts w:ascii="Times New Roman" w:hAnsi="Times New Roman" w:cs="Times New Roman"/>
          <w:i/>
          <w:iCs/>
          <w:sz w:val="22"/>
          <w:szCs w:val="22"/>
        </w:rPr>
        <w:t>herem</w:t>
      </w:r>
      <w:r>
        <w:rPr>
          <w:rFonts w:ascii="Times New Roman" w:hAnsi="Times New Roman" w:cs="Times New Roman"/>
          <w:sz w:val="22"/>
          <w:szCs w:val="22"/>
        </w:rPr>
        <w:t xml:space="preserve"> command in the conquest narratives must be understood within its ancient Near Eastern covenantal context, rather than as a universal moral rule, has substantially reshaped the discussion of these texts in evangelical scholarship. His central claim, that </w:t>
      </w:r>
      <w:r>
        <w:rPr>
          <w:rFonts w:ascii="Times New Roman" w:hAnsi="Times New Roman" w:cs="Times New Roman"/>
          <w:i/>
          <w:iCs/>
          <w:sz w:val="22"/>
          <w:szCs w:val="22"/>
        </w:rPr>
        <w:t>herem</w:t>
      </w:r>
      <w:r>
        <w:rPr>
          <w:rFonts w:ascii="Times New Roman" w:hAnsi="Times New Roman" w:cs="Times New Roman"/>
          <w:sz w:val="22"/>
          <w:szCs w:val="22"/>
        </w:rPr>
        <w:t xml:space="preserve"> is a function of Israel’s particular covenantal situation and not a precedent for religiously motivated violence in other contexts, is consistent with the relational framework developed in the present book, though the present argument presses the theological basis of that claim further than Walton himself pursues.</w:t>
      </w:r>
    </w:p>
    <w:p w14:paraId="25642B83" w14:textId="77777777" w:rsidR="00005F4F" w:rsidRPr="00850CC8" w:rsidRDefault="00005F4F" w:rsidP="00850CC8">
      <w:pPr>
        <w:spacing w:line="276" w:lineRule="auto"/>
        <w:rPr>
          <w:rFonts w:ascii="Times New Roman" w:hAnsi="Times New Roman" w:cs="Times New Roman"/>
          <w:sz w:val="22"/>
          <w:szCs w:val="22"/>
        </w:rPr>
      </w:pPr>
    </w:p>
    <w:p w14:paraId="0EE6030E" w14:textId="77777777" w:rsidR="00005F4F" w:rsidRPr="00850CC8" w:rsidRDefault="00005F4F" w:rsidP="00850CC8">
      <w:pPr>
        <w:spacing w:before="120" w:line="276" w:lineRule="auto"/>
        <w:ind w:firstLine="720"/>
        <w:jc w:val="both"/>
        <w:rPr>
          <w:rFonts w:ascii="Times New Roman" w:hAnsi="Times New Roman" w:cs="Times New Roman"/>
          <w:sz w:val="22"/>
          <w:szCs w:val="22"/>
        </w:rPr>
      </w:pPr>
      <w:r>
        <w:rPr>
          <w:rFonts w:ascii="Times New Roman" w:hAnsi="Times New Roman" w:cs="Times New Roman"/>
          <w:sz w:val="22"/>
          <w:szCs w:val="22"/>
        </w:rPr>
        <w:t xml:space="preserve">8. The relationship between mercy and judgment in the divine character is analyzed with care in Miroslav Volf, </w:t>
      </w:r>
      <w:r>
        <w:rPr>
          <w:rFonts w:ascii="Times New Roman" w:hAnsi="Times New Roman" w:cs="Times New Roman"/>
          <w:i/>
          <w:iCs/>
          <w:sz w:val="22"/>
          <w:szCs w:val="22"/>
        </w:rPr>
        <w:t xml:space="preserve">Exclusion and Embrace: A Theological Exploration of Identity, Otherness, and </w:t>
        <w:lastRenderedPageBreak/>
        <w:t>Reconciliation</w:t>
      </w:r>
      <w:r>
        <w:rPr>
          <w:rFonts w:ascii="Times New Roman" w:hAnsi="Times New Roman" w:cs="Times New Roman"/>
          <w:sz w:val="22"/>
          <w:szCs w:val="22"/>
        </w:rPr>
        <w:t xml:space="preserve"> (Nashville: Abingdon Press, 1996), 295–306. Volf’s argument that the very possibility of mercy in a world of actual evil requires the reality of judgment, that a God who could not judge would also be a God whose mercy would be without moral content, anticipates the argument of Chapter Seven regarding divine patience and its limits. For a complementary treatment from a different theological tradition, see Karl Barth, </w:t>
      </w:r>
      <w:r>
        <w:rPr>
          <w:rFonts w:ascii="Times New Roman" w:hAnsi="Times New Roman" w:cs="Times New Roman"/>
          <w:i/>
          <w:iCs/>
          <w:sz w:val="22"/>
          <w:szCs w:val="22"/>
        </w:rPr>
        <w:t>Church Dogmatics</w:t>
      </w:r>
      <w:r>
        <w:rPr>
          <w:rFonts w:ascii="Times New Roman" w:hAnsi="Times New Roman" w:cs="Times New Roman"/>
          <w:sz w:val="22"/>
          <w:szCs w:val="22"/>
        </w:rPr>
        <w:t xml:space="preserve"> II/1, trans. T. H. L. Parker et al. (Edinburgh: T. &amp; T. Clark, 1957), 386–406, where Barth develops the claim that the wrath of God is not a separate divine attribute standing alongside love but the form that love takes when it encounters the persistent refusal of the creature.</w:t>
      </w:r>
    </w:p>
    <w:p w14:paraId="13A0623E" w14:textId="4DC53E27" w:rsidR="00005F4F" w:rsidRPr="00850CC8" w:rsidRDefault="00005F4F" w:rsidP="00850CC8">
      <w:pPr>
        <w:spacing w:line="276" w:lineRule="auto"/>
        <w:rPr>
          <w:rFonts w:ascii="Times New Roman" w:hAnsi="Times New Roman" w:cs="Times New Roman"/>
          <w:sz w:val="22"/>
          <w:szCs w:val="22"/>
        </w:rPr>
      </w:pPr>
      <w:r>
        <w:rPr>
          <w:rFonts w:ascii="Times New Roman" w:hAnsi="Times New Roman" w:cs="Times New Roman"/>
          <w:sz w:val="22"/>
          <w:szCs w:val="22"/>
        </w:rPr>
        <w:br w:type="page"/>
      </w:r>
    </w:p>
    <w:p w14:paraId="6ACEE6FE" w14:textId="77777777" w:rsidR="00005F4F" w:rsidRPr="00850CC8" w:rsidRDefault="00005F4F" w:rsidP="00850CC8">
      <w:pPr>
        <w:pStyle w:val="Heading1"/>
        <w:spacing w:line="276" w:lineRule="auto"/>
        <w:jc w:val="center"/>
        <w:rPr>
          <w:rFonts w:ascii="Times New Roman" w:hAnsi="Times New Roman" w:cs="Times New Roman"/>
          <w:color w:val="000000" w:themeColor="text1"/>
          <w:sz w:val="22"/>
          <w:szCs w:val="22"/>
        </w:rPr>
      </w:pPr>
      <w:bookmarkStart w:id="10" w:name="_Toc228335816"/>
      <w:r>
        <w:rPr>
          <w:rFonts w:ascii="Times New Roman" w:hAnsi="Times New Roman" w:cs="Times New Roman"/>
          <w:color w:val="000000" w:themeColor="text1"/>
          <w:sz w:val="22"/>
          <w:szCs w:val="22"/>
        </w:rPr>
        <w:lastRenderedPageBreak/>
        <w:t>Chapter Seven</w:t>
        <w:br/>
        <w:t>The Patience That Ends</w:t>
      </w:r>
      <w:bookmarkEnd w:id="10"/>
    </w:p>
    <w:p w14:paraId="1E8096B0" w14:textId="77777777" w:rsidR="00005F4F" w:rsidRPr="00850CC8" w:rsidRDefault="00005F4F" w:rsidP="00850CC8">
      <w:pPr>
        <w:pStyle w:val="Heading1"/>
        <w:spacing w:line="276" w:lineRule="auto"/>
        <w:jc w:val="center"/>
        <w:rPr>
          <w:rFonts w:ascii="Times New Roman" w:hAnsi="Times New Roman" w:cs="Times New Roman"/>
          <w:color w:val="000000" w:themeColor="text1"/>
          <w:sz w:val="22"/>
          <w:szCs w:val="22"/>
        </w:rPr>
      </w:pPr>
    </w:p>
    <w:p w14:paraId="46218D84" w14:textId="77777777" w:rsidR="00005F4F" w:rsidRPr="00850CC8" w:rsidRDefault="00005F4F" w:rsidP="00850CC8">
      <w:pPr>
        <w:spacing w:line="276" w:lineRule="auto"/>
        <w:jc w:val="both"/>
        <w:rPr>
          <w:rFonts w:ascii="Times New Roman" w:hAnsi="Times New Roman" w:cs="Times New Roman"/>
          <w:sz w:val="22"/>
          <w:szCs w:val="22"/>
        </w:rPr>
      </w:pPr>
      <w:r>
        <w:rPr>
          <w:rFonts w:ascii="Times New Roman" w:hAnsi="Times New Roman" w:cs="Times New Roman"/>
          <w:sz w:val="22"/>
          <w:szCs w:val="22"/>
        </w:rPr>
        <w:t>There is a sentence in Genesis 15 that has been mentioned twice in this book already, without the care it deserves. God has just made his covenant with Abram, promising him the land and the descendants, and he adds a qualification about the timing: “And they shall come back here in the fourth generation, for the iniquity of the Amorites is not yet complete” (Genesis 15:16).</w:t>
      </w:r>
    </w:p>
    <w:p w14:paraId="103EE7E8" w14:textId="77777777" w:rsidR="00005F4F" w:rsidRPr="00850CC8" w:rsidRDefault="00005F4F" w:rsidP="00850CC8">
      <w:pPr>
        <w:spacing w:line="276" w:lineRule="auto"/>
        <w:rPr>
          <w:rFonts w:ascii="Times New Roman" w:hAnsi="Times New Roman" w:cs="Times New Roman"/>
          <w:sz w:val="22"/>
          <w:szCs w:val="22"/>
        </w:rPr>
      </w:pPr>
    </w:p>
    <w:p w14:paraId="585378C9" w14:textId="77777777" w:rsidR="00005F4F" w:rsidRPr="00850CC8" w:rsidRDefault="00005F4F"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The sentence is easy to pass over. It reads, on a quick reading, like a logistical note: the land is not ready yet, we will have to wait. But the reason given for the delay is not logistical. It is moral. The Amorites, the inhabitants of the land that will eventually be given to Abram’s descendants, are not yet at the point where judgment is warranted. Their iniquity has not yet reached its full measure. God is waiting, and the thing he is waiting for is a moral threshold, the point at which the persistence and depth of a community’s rebellion against the moral order reaches a limit that even the most patient love cannot indefinitely absorb.</w:t>
      </w:r>
    </w:p>
    <w:p w14:paraId="154D9821" w14:textId="77777777" w:rsidR="00005F4F" w:rsidRPr="00850CC8" w:rsidRDefault="00005F4F" w:rsidP="00850CC8">
      <w:pPr>
        <w:spacing w:line="276" w:lineRule="auto"/>
        <w:rPr>
          <w:rFonts w:ascii="Times New Roman" w:hAnsi="Times New Roman" w:cs="Times New Roman"/>
          <w:sz w:val="22"/>
          <w:szCs w:val="22"/>
        </w:rPr>
      </w:pPr>
    </w:p>
    <w:p w14:paraId="5CD1ED0C" w14:textId="77777777" w:rsidR="00005F4F" w:rsidRPr="00850CC8" w:rsidRDefault="00005F4F"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That sentence contains, in compressed form, the theological logic that governs the hardest material in the conquest narratives, and that logic is the subject of this chapter. Chapter Six examined what the relational framework looks like when faith creates new possibilities and covenant proximity generates access and protection. This chapter examines what the same framework looks like when faith is absent, when the centuries of waiting produce not a turn toward God but a deepening entrenchment in practices that destroy human flourishing, and when the patience that is one of the most consistent characteristics of the divine character in the biblical narrative finally, and at enormous moral cost, comes to an end.</w:t>
      </w:r>
    </w:p>
    <w:p w14:paraId="7C7FD500" w14:textId="77777777" w:rsidR="00005F4F" w:rsidRPr="00850CC8" w:rsidRDefault="00005F4F" w:rsidP="00850CC8">
      <w:pPr>
        <w:spacing w:line="276" w:lineRule="auto"/>
        <w:rPr>
          <w:rFonts w:ascii="Times New Roman" w:hAnsi="Times New Roman" w:cs="Times New Roman"/>
          <w:sz w:val="22"/>
          <w:szCs w:val="22"/>
        </w:rPr>
      </w:pPr>
    </w:p>
    <w:p w14:paraId="4F1B5391" w14:textId="77777777" w:rsidR="00005F4F" w:rsidRPr="00850CC8" w:rsidRDefault="00005F4F"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This is not comfortable material, and the framework developed in this book does not make it comfortable. What it does is make it coherent, which is a different and more honest thing to offer.</w:t>
      </w:r>
    </w:p>
    <w:p w14:paraId="6661B12C" w14:textId="77777777" w:rsidR="00005F4F" w:rsidRPr="00850CC8" w:rsidRDefault="00005F4F" w:rsidP="00850CC8">
      <w:pPr>
        <w:spacing w:line="276" w:lineRule="auto"/>
        <w:rPr>
          <w:rFonts w:ascii="Times New Roman" w:hAnsi="Times New Roman" w:cs="Times New Roman"/>
          <w:sz w:val="22"/>
          <w:szCs w:val="22"/>
        </w:rPr>
      </w:pPr>
    </w:p>
    <w:p w14:paraId="4CD6DA79" w14:textId="77777777" w:rsidR="00005F4F" w:rsidRPr="00850CC8" w:rsidRDefault="00005F4F" w:rsidP="00850CC8">
      <w:pPr>
        <w:spacing w:before="480" w:after="240" w:line="276" w:lineRule="auto"/>
        <w:rPr>
          <w:rFonts w:ascii="Times New Roman" w:hAnsi="Times New Roman" w:cs="Times New Roman"/>
          <w:sz w:val="22"/>
          <w:szCs w:val="22"/>
        </w:rPr>
      </w:pPr>
      <w:r>
        <w:rPr>
          <w:rFonts w:ascii="Times New Roman" w:hAnsi="Times New Roman" w:cs="Times New Roman"/>
          <w:b/>
          <w:bCs/>
          <w:sz w:val="22"/>
          <w:szCs w:val="22"/>
        </w:rPr>
        <w:t>The Anatomy of Divine Patience</w:t>
      </w:r>
    </w:p>
    <w:p w14:paraId="6988269A" w14:textId="77777777" w:rsidR="00005F4F" w:rsidRPr="00850CC8" w:rsidRDefault="00005F4F" w:rsidP="00850CC8">
      <w:pPr>
        <w:spacing w:line="276" w:lineRule="auto"/>
        <w:jc w:val="both"/>
        <w:rPr>
          <w:rFonts w:ascii="Times New Roman" w:hAnsi="Times New Roman" w:cs="Times New Roman"/>
          <w:sz w:val="22"/>
          <w:szCs w:val="22"/>
        </w:rPr>
      </w:pPr>
      <w:r>
        <w:rPr>
          <w:rFonts w:ascii="Times New Roman" w:hAnsi="Times New Roman" w:cs="Times New Roman"/>
          <w:sz w:val="22"/>
          <w:szCs w:val="22"/>
        </w:rPr>
        <w:t>The characterization of God in Exodus 34:6–7 as “slow to anger and abounding in steadfast love” is not an isolated theological claim. It is, as Chapter Six noted, a kind of theological refrain that sounds throughout the Hebrew Bible, appearing in whole or in part in texts spread across centuries and literary genres. The consistency of this characterization is itself a datum. It tells us something about how the biblical writers understood the divine character: not as evenly balanced between mercy and judgment, but as asymmetrically inclined toward mercy, with judgment as the reluctant and costly expression of a love that cannot finally abandon the victims of persistent evil.</w:t>
      </w:r>
    </w:p>
    <w:p w14:paraId="273DC933" w14:textId="77777777" w:rsidR="00005F4F" w:rsidRPr="00850CC8" w:rsidRDefault="00005F4F" w:rsidP="00850CC8">
      <w:pPr>
        <w:spacing w:line="276" w:lineRule="auto"/>
        <w:rPr>
          <w:rFonts w:ascii="Times New Roman" w:hAnsi="Times New Roman" w:cs="Times New Roman"/>
          <w:sz w:val="22"/>
          <w:szCs w:val="22"/>
        </w:rPr>
      </w:pPr>
    </w:p>
    <w:p w14:paraId="085C688C" w14:textId="77777777" w:rsidR="00005F4F" w:rsidRPr="00850CC8" w:rsidRDefault="00005F4F"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This asymmetry is explicit in the Exodus passage itself. The mercy of which God speaks extends to “thousands,” while the punishment reaches only to “the third and fourth generation.” The ratio is not incidental. It encodes a theological claim about the default orientation of the divine character: mercy is the grain of the wood, judgment against the grain.</w:t>
      </w:r>
      <w:r>
        <w:rPr>
          <w:rFonts w:ascii="Times New Roman" w:hAnsi="Times New Roman" w:cs="Times New Roman"/>
          <w:sz w:val="22"/>
          <w:szCs w:val="22"/>
          <w:vertAlign w:val="superscript"/>
        </w:rPr>
        <w:t>1</w:t>
      </w:r>
      <w:r>
        <w:rPr>
          <w:rFonts w:ascii="Times New Roman" w:hAnsi="Times New Roman" w:cs="Times New Roman"/>
          <w:sz w:val="22"/>
          <w:szCs w:val="22"/>
        </w:rPr>
        <w:t xml:space="preserve"> The prophet Ezekiel voices the same asymmetry from a different angle: “I have no pleasure in the death of the wicked, but rather that the wicked should turn from </w:t>
        <w:lastRenderedPageBreak/>
        <w:t>their ways and live” (Ezekiel 33:11). The judgment, when it comes, is not what God wanted. It is what a love that takes evil seriously could not indefinitely defer.</w:t>
      </w:r>
    </w:p>
    <w:p w14:paraId="5C236D1E" w14:textId="77777777" w:rsidR="00005F4F" w:rsidRPr="00850CC8" w:rsidRDefault="00005F4F" w:rsidP="00850CC8">
      <w:pPr>
        <w:spacing w:line="276" w:lineRule="auto"/>
        <w:rPr>
          <w:rFonts w:ascii="Times New Roman" w:hAnsi="Times New Roman" w:cs="Times New Roman"/>
          <w:sz w:val="22"/>
          <w:szCs w:val="22"/>
        </w:rPr>
      </w:pPr>
    </w:p>
    <w:p w14:paraId="561E02D2" w14:textId="77777777" w:rsidR="00005F4F" w:rsidRPr="00850CC8" w:rsidRDefault="00005F4F"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Genesis 15:16 places the conquest narratives within this framework. The four centuries between the covenant with Abram and the crossing of Jordan are not an administrative delay while God arranges the logistics of a land transfer. They are the duration of a patient waiting, during which the door of repentance remained open, during which the Amorites had every opportunity available under general revelation to turn from the practices that were destroying their own communities and corrupting the moral fabric of the region.</w:t>
      </w:r>
    </w:p>
    <w:p w14:paraId="585F13D8" w14:textId="77777777" w:rsidR="00005F4F" w:rsidRPr="00850CC8" w:rsidRDefault="00005F4F" w:rsidP="00850CC8">
      <w:pPr>
        <w:spacing w:line="276" w:lineRule="auto"/>
        <w:rPr>
          <w:rFonts w:ascii="Times New Roman" w:hAnsi="Times New Roman" w:cs="Times New Roman"/>
          <w:sz w:val="22"/>
          <w:szCs w:val="22"/>
        </w:rPr>
      </w:pPr>
    </w:p>
    <w:p w14:paraId="52893257" w14:textId="77777777" w:rsidR="00005F4F" w:rsidRPr="00850CC8" w:rsidRDefault="00005F4F"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 xml:space="preserve">The phrase “the iniquity of the Amorites is not yet complete” is a moral description, not merely a temporal one. John Goldingay notes that the Hebrew </w:t>
      </w:r>
      <w:r>
        <w:rPr>
          <w:rFonts w:ascii="Times New Roman" w:hAnsi="Times New Roman" w:cs="Times New Roman"/>
          <w:i/>
          <w:iCs/>
          <w:sz w:val="22"/>
          <w:szCs w:val="22"/>
        </w:rPr>
        <w:t>shalom</w:t>
      </w:r>
      <w:r>
        <w:rPr>
          <w:rFonts w:ascii="Times New Roman" w:hAnsi="Times New Roman" w:cs="Times New Roman"/>
          <w:sz w:val="22"/>
          <w:szCs w:val="22"/>
        </w:rPr>
        <w:t>, translated “complete,” carries the sense of reaching fullness, of filling up a measure that has been accumulating over time.</w:t>
      </w:r>
      <w:r>
        <w:rPr>
          <w:rFonts w:ascii="Times New Roman" w:hAnsi="Times New Roman" w:cs="Times New Roman"/>
          <w:sz w:val="22"/>
          <w:szCs w:val="22"/>
          <w:vertAlign w:val="superscript"/>
        </w:rPr>
        <w:t>2</w:t>
      </w:r>
      <w:r>
        <w:rPr>
          <w:rFonts w:ascii="Times New Roman" w:hAnsi="Times New Roman" w:cs="Times New Roman"/>
          <w:sz w:val="22"/>
          <w:szCs w:val="22"/>
        </w:rPr>
        <w:t xml:space="preserve"> The image is not of a sudden moral deterioration but of a long accumulation, a gradual exhaustion of the moral possibilities within a community whose practices had become increasingly resistant to the constraints that general revelation places even on those outside the covenant. God was not counting down to a predetermined execution. He was waiting to see if the accumulation would reach a point that left no alternative to judgment.</w:t>
      </w:r>
    </w:p>
    <w:p w14:paraId="745D0A85" w14:textId="77777777" w:rsidR="00005F4F" w:rsidRPr="00850CC8" w:rsidRDefault="00005F4F" w:rsidP="00850CC8">
      <w:pPr>
        <w:spacing w:line="276" w:lineRule="auto"/>
        <w:rPr>
          <w:rFonts w:ascii="Times New Roman" w:hAnsi="Times New Roman" w:cs="Times New Roman"/>
          <w:sz w:val="22"/>
          <w:szCs w:val="22"/>
        </w:rPr>
      </w:pPr>
    </w:p>
    <w:p w14:paraId="30698522" w14:textId="77777777" w:rsidR="00005F4F" w:rsidRPr="00850CC8" w:rsidRDefault="00005F4F"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The same patience is visible in the Flood narrative, though in a more compressed form. Genesis 6:3, in a notoriously difficult verse, speaks of the Spirit of God contending with humanity, or perhaps withdrawing from it, over a period of one hundred and twenty years. The second letter of Peter describes Noah as a “herald of righteousness” (2 Peter 2:5) whose preaching during the construction of the ark constituted a public and extended warning before the judgment fell. The pattern in both narratives is the same: extended patience, the provision of warning and opportunity, and judgment as the terminus of a process that began not with divine anger but with divine forbearance.</w:t>
      </w:r>
    </w:p>
    <w:p w14:paraId="5B2523B8" w14:textId="77777777" w:rsidR="00005F4F" w:rsidRPr="00850CC8" w:rsidRDefault="00005F4F" w:rsidP="00850CC8">
      <w:pPr>
        <w:spacing w:line="276" w:lineRule="auto"/>
        <w:rPr>
          <w:rFonts w:ascii="Times New Roman" w:hAnsi="Times New Roman" w:cs="Times New Roman"/>
          <w:sz w:val="22"/>
          <w:szCs w:val="22"/>
        </w:rPr>
      </w:pPr>
    </w:p>
    <w:p w14:paraId="3AD836CA" w14:textId="77777777" w:rsidR="00005F4F" w:rsidRPr="00850CC8" w:rsidRDefault="00005F4F" w:rsidP="00850CC8">
      <w:pPr>
        <w:spacing w:before="480" w:after="240" w:line="276" w:lineRule="auto"/>
        <w:rPr>
          <w:rFonts w:ascii="Times New Roman" w:hAnsi="Times New Roman" w:cs="Times New Roman"/>
          <w:sz w:val="22"/>
          <w:szCs w:val="22"/>
        </w:rPr>
      </w:pPr>
      <w:r>
        <w:rPr>
          <w:rFonts w:ascii="Times New Roman" w:hAnsi="Times New Roman" w:cs="Times New Roman"/>
          <w:b/>
          <w:bCs/>
          <w:sz w:val="22"/>
          <w:szCs w:val="22"/>
        </w:rPr>
        <w:t>What the Amorites Were Doing</w:t>
      </w:r>
    </w:p>
    <w:p w14:paraId="13BAC145" w14:textId="77777777" w:rsidR="00005F4F" w:rsidRPr="00850CC8" w:rsidRDefault="00005F4F" w:rsidP="00850CC8">
      <w:pPr>
        <w:spacing w:line="276" w:lineRule="auto"/>
        <w:jc w:val="both"/>
        <w:rPr>
          <w:rFonts w:ascii="Times New Roman" w:hAnsi="Times New Roman" w:cs="Times New Roman"/>
          <w:sz w:val="22"/>
          <w:szCs w:val="22"/>
        </w:rPr>
      </w:pPr>
      <w:r>
        <w:rPr>
          <w:rFonts w:ascii="Times New Roman" w:hAnsi="Times New Roman" w:cs="Times New Roman"/>
          <w:sz w:val="22"/>
          <w:szCs w:val="22"/>
        </w:rPr>
        <w:t>The patience of Genesis 15:16 is theologically significant partly because of what it was patient toward. The question of what the Canaanite and Amorite peoples were actually doing during the four centuries before the conquest is not easy to answer, and the biblical text does not provide an exhaustive account. But the broad outlines are clear enough from both the biblical narrative and from the archaeological and literary evidence available to historians of the ancient Near East.</w:t>
      </w:r>
    </w:p>
    <w:p w14:paraId="7E953E64" w14:textId="77777777" w:rsidR="00005F4F" w:rsidRPr="00850CC8" w:rsidRDefault="00005F4F" w:rsidP="00850CC8">
      <w:pPr>
        <w:spacing w:line="276" w:lineRule="auto"/>
        <w:rPr>
          <w:rFonts w:ascii="Times New Roman" w:hAnsi="Times New Roman" w:cs="Times New Roman"/>
          <w:sz w:val="22"/>
          <w:szCs w:val="22"/>
        </w:rPr>
      </w:pPr>
    </w:p>
    <w:p w14:paraId="3E8789B9" w14:textId="77777777" w:rsidR="00005F4F" w:rsidRPr="00850CC8" w:rsidRDefault="00005F4F"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Leviticus 18, which catalogues the practices from which Israel is explicitly prohibited as they enter the land, provides a window into what those practices were. The chapter is framed by the statement that the Canaanites, not only the Egyptians, engaged in these practices: “You shall not do as they do in the land of Canaan, to which I am bringing you. You shall not walk in their statutes” (Leviticus 18:3). The catalogue includes various forms of sexual violence and exploitation, child sacrifice to Molech, and practices involving the use of children in religious ritual. The chapter ends with a statement that directly echoes the language of Genesis 15:16: the land “vomited out” its inhabitants because of these practices (Leviticus 18:25).</w:t>
      </w:r>
      <w:r>
        <w:rPr>
          <w:rFonts w:ascii="Times New Roman" w:hAnsi="Times New Roman" w:cs="Times New Roman"/>
          <w:sz w:val="22"/>
          <w:szCs w:val="22"/>
          <w:vertAlign w:val="superscript"/>
        </w:rPr>
        <w:t>3</w:t>
      </w:r>
    </w:p>
    <w:p w14:paraId="70BB60BC" w14:textId="77777777" w:rsidR="00005F4F" w:rsidRPr="00850CC8" w:rsidRDefault="00005F4F" w:rsidP="00850CC8">
      <w:pPr>
        <w:spacing w:line="276" w:lineRule="auto"/>
        <w:rPr>
          <w:rFonts w:ascii="Times New Roman" w:hAnsi="Times New Roman" w:cs="Times New Roman"/>
          <w:sz w:val="22"/>
          <w:szCs w:val="22"/>
        </w:rPr>
      </w:pPr>
    </w:p>
    <w:p w14:paraId="5F7B0707" w14:textId="77777777" w:rsidR="00005F4F" w:rsidRPr="00850CC8" w:rsidRDefault="00005F4F"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lastRenderedPageBreak/>
        <w:t>Archaeological evidence from sites across the ancient Levant has confirmed the practice of child sacrifice in Phoenician and Canaanite religious contexts, including the discovery of infant remains in what appear to be sacrificial deposits at multiple sites. This evidence does not resolve every historical and interpretive question about the conquest narratives, and scholars continue to debate the extent and character of these practices. But it does establish that the biblical characterization of Canaanite religion as involving practices that violated the most basic moral intuitions accessible to all human beings through general revelation was not a polemical invention. These things were happening, and they were recognized as extreme even within the ancient Near Eastern world.</w:t>
      </w:r>
    </w:p>
    <w:p w14:paraId="0DC985C4" w14:textId="77777777" w:rsidR="00005F4F" w:rsidRPr="00850CC8" w:rsidRDefault="00005F4F" w:rsidP="00850CC8">
      <w:pPr>
        <w:spacing w:line="276" w:lineRule="auto"/>
        <w:rPr>
          <w:rFonts w:ascii="Times New Roman" w:hAnsi="Times New Roman" w:cs="Times New Roman"/>
          <w:sz w:val="22"/>
          <w:szCs w:val="22"/>
        </w:rPr>
      </w:pPr>
    </w:p>
    <w:p w14:paraId="071D6B1A" w14:textId="77777777" w:rsidR="00005F4F" w:rsidRPr="00850CC8" w:rsidRDefault="00005F4F"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Paul Copan and Matthew Flannagan have argued, in their careful examination of the conquest texts, that the moral logic of Genesis 15:16 is precisely the logic of what they call “judgment under natural law” rather than judgment under covenant law.</w:t>
      </w:r>
      <w:r>
        <w:rPr>
          <w:rFonts w:ascii="Times New Roman" w:hAnsi="Times New Roman" w:cs="Times New Roman"/>
          <w:sz w:val="22"/>
          <w:szCs w:val="22"/>
          <w:vertAlign w:val="superscript"/>
        </w:rPr>
        <w:t>4</w:t>
      </w:r>
      <w:r>
        <w:rPr>
          <w:rFonts w:ascii="Times New Roman" w:hAnsi="Times New Roman" w:cs="Times New Roman"/>
          <w:sz w:val="22"/>
          <w:szCs w:val="22"/>
        </w:rPr>
        <w:t xml:space="preserve"> The Amorites and Canaanites were not being held accountable for failing to observe the Mosaic covenant, which did not yet exist. They were being held accountable to the moral law accessible to all human beings through the conscience and through the created order, the law that Paul describes in Romans 2:14–15 as “written on their hearts.” The threshold that Genesis 15:16 describes as “the iniquity of the Amorites not yet complete” is the threshold at which persistence in violations of that universally accessible moral law exhausts the patience of a God who is fully committed to both mercy and justice.</w:t>
      </w:r>
    </w:p>
    <w:p w14:paraId="0EA26F15" w14:textId="77777777" w:rsidR="00005F4F" w:rsidRPr="00850CC8" w:rsidRDefault="00005F4F" w:rsidP="00850CC8">
      <w:pPr>
        <w:spacing w:line="276" w:lineRule="auto"/>
        <w:rPr>
          <w:rFonts w:ascii="Times New Roman" w:hAnsi="Times New Roman" w:cs="Times New Roman"/>
          <w:sz w:val="22"/>
          <w:szCs w:val="22"/>
        </w:rPr>
      </w:pPr>
    </w:p>
    <w:p w14:paraId="088C39AC" w14:textId="77777777" w:rsidR="00005F4F" w:rsidRPr="00850CC8" w:rsidRDefault="00005F4F" w:rsidP="00850CC8">
      <w:pPr>
        <w:spacing w:before="480" w:after="240" w:line="276" w:lineRule="auto"/>
        <w:rPr>
          <w:rFonts w:ascii="Times New Roman" w:hAnsi="Times New Roman" w:cs="Times New Roman"/>
          <w:sz w:val="22"/>
          <w:szCs w:val="22"/>
        </w:rPr>
      </w:pPr>
      <w:r>
        <w:rPr>
          <w:rFonts w:ascii="Times New Roman" w:hAnsi="Times New Roman" w:cs="Times New Roman"/>
          <w:b/>
          <w:bCs/>
          <w:sz w:val="22"/>
          <w:szCs w:val="22"/>
        </w:rPr>
        <w:t>The Nature of ח̱ērem</w:t>
      </w:r>
    </w:p>
    <w:p w14:paraId="068D2214" w14:textId="77777777" w:rsidR="00005F4F" w:rsidRPr="00850CC8" w:rsidRDefault="00005F4F" w:rsidP="00850CC8">
      <w:pPr>
        <w:spacing w:line="276" w:lineRule="auto"/>
        <w:jc w:val="both"/>
        <w:rPr>
          <w:rFonts w:ascii="Times New Roman" w:hAnsi="Times New Roman" w:cs="Times New Roman"/>
          <w:sz w:val="22"/>
          <w:szCs w:val="22"/>
        </w:rPr>
      </w:pPr>
      <w:r>
        <w:rPr>
          <w:rFonts w:ascii="Times New Roman" w:hAnsi="Times New Roman" w:cs="Times New Roman"/>
          <w:sz w:val="22"/>
          <w:szCs w:val="22"/>
        </w:rPr>
        <w:t xml:space="preserve">The command associated with the conquest that has generated the most theological difficulty is the </w:t>
      </w:r>
      <w:r>
        <w:rPr>
          <w:rFonts w:ascii="Times New Roman" w:hAnsi="Times New Roman" w:cs="Times New Roman"/>
          <w:i/>
          <w:iCs/>
          <w:sz w:val="22"/>
          <w:szCs w:val="22"/>
        </w:rPr>
        <w:t>herem</w:t>
      </w:r>
      <w:r>
        <w:rPr>
          <w:rFonts w:ascii="Times New Roman" w:hAnsi="Times New Roman" w:cs="Times New Roman"/>
          <w:sz w:val="22"/>
          <w:szCs w:val="22"/>
        </w:rPr>
        <w:t xml:space="preserve">, the Hebrew term translated variously as “devote to destruction,” “utterly destroy,” or “place under the ban.” The texts in which this command appears are among the most disturbing in the Hebrew Bible, and no careful interpreter should pretend otherwise. Deuteronomy 20:16–17 commands Israel not to leave alive anything that breathes in the cities of the nations being given as an inheritance. Joshua 6:17 places Jericho under </w:t>
      </w:r>
      <w:r>
        <w:rPr>
          <w:rFonts w:ascii="Times New Roman" w:hAnsi="Times New Roman" w:cs="Times New Roman"/>
          <w:i/>
          <w:iCs/>
          <w:sz w:val="22"/>
          <w:szCs w:val="22"/>
        </w:rPr>
        <w:t>herem</w:t>
      </w:r>
      <w:r>
        <w:rPr>
          <w:rFonts w:ascii="Times New Roman" w:hAnsi="Times New Roman" w:cs="Times New Roman"/>
          <w:sz w:val="22"/>
          <w:szCs w:val="22"/>
        </w:rPr>
        <w:t xml:space="preserve"> before the battle. These are not texts that yield to easy reassurance.</w:t>
      </w:r>
    </w:p>
    <w:p w14:paraId="6F60FB48" w14:textId="77777777" w:rsidR="00005F4F" w:rsidRPr="00850CC8" w:rsidRDefault="00005F4F" w:rsidP="00850CC8">
      <w:pPr>
        <w:spacing w:line="276" w:lineRule="auto"/>
        <w:rPr>
          <w:rFonts w:ascii="Times New Roman" w:hAnsi="Times New Roman" w:cs="Times New Roman"/>
          <w:sz w:val="22"/>
          <w:szCs w:val="22"/>
        </w:rPr>
      </w:pPr>
    </w:p>
    <w:p w14:paraId="7694E4D3" w14:textId="77777777" w:rsidR="00005F4F" w:rsidRPr="00850CC8" w:rsidRDefault="00005F4F"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 xml:space="preserve">The first thing to establish about </w:t>
      </w:r>
      <w:r>
        <w:rPr>
          <w:rFonts w:ascii="Times New Roman" w:hAnsi="Times New Roman" w:cs="Times New Roman"/>
          <w:i/>
          <w:iCs/>
          <w:sz w:val="22"/>
          <w:szCs w:val="22"/>
        </w:rPr>
        <w:t>herem</w:t>
      </w:r>
      <w:r>
        <w:rPr>
          <w:rFonts w:ascii="Times New Roman" w:hAnsi="Times New Roman" w:cs="Times New Roman"/>
          <w:sz w:val="22"/>
          <w:szCs w:val="22"/>
        </w:rPr>
        <w:t xml:space="preserve"> is its literary and rhetorical context. K. Lawson Younger’s study of ancient Near Eastern conquest accounts established that the language of total destruction was a conventional idiom in ancient warfare literature, employed across multiple cultures to describe the completeness of a military victory and the absolute loyalty of the conquering party to their deity.</w:t>
      </w:r>
      <w:r>
        <w:rPr>
          <w:rFonts w:ascii="Times New Roman" w:hAnsi="Times New Roman" w:cs="Times New Roman"/>
          <w:sz w:val="22"/>
          <w:szCs w:val="22"/>
          <w:vertAlign w:val="superscript"/>
        </w:rPr>
        <w:t>5</w:t>
      </w:r>
      <w:r>
        <w:rPr>
          <w:rFonts w:ascii="Times New Roman" w:hAnsi="Times New Roman" w:cs="Times New Roman"/>
          <w:sz w:val="22"/>
          <w:szCs w:val="22"/>
        </w:rPr>
        <w:t xml:space="preserve"> Egyptian, Assyrian, and Hittite conquest accounts use language functionally identical to the </w:t>
      </w:r>
      <w:r>
        <w:rPr>
          <w:rFonts w:ascii="Times New Roman" w:hAnsi="Times New Roman" w:cs="Times New Roman"/>
          <w:i/>
          <w:iCs/>
          <w:sz w:val="22"/>
          <w:szCs w:val="22"/>
        </w:rPr>
        <w:t>herem</w:t>
      </w:r>
      <w:r>
        <w:rPr>
          <w:rFonts w:ascii="Times New Roman" w:hAnsi="Times New Roman" w:cs="Times New Roman"/>
          <w:sz w:val="22"/>
          <w:szCs w:val="22"/>
        </w:rPr>
        <w:t xml:space="preserve"> passages in Joshua, describing the utter annihilation of enemies who, as other passages in the same texts make clear, did not in fact all die. The language is hyperbolic in the technical literary sense: it describes the totality of the commitment and the completeness of the victory, not a literal body count.</w:t>
      </w:r>
    </w:p>
    <w:p w14:paraId="491B739B" w14:textId="77777777" w:rsidR="00005F4F" w:rsidRPr="00850CC8" w:rsidRDefault="00005F4F" w:rsidP="00850CC8">
      <w:pPr>
        <w:spacing w:line="276" w:lineRule="auto"/>
        <w:rPr>
          <w:rFonts w:ascii="Times New Roman" w:hAnsi="Times New Roman" w:cs="Times New Roman"/>
          <w:sz w:val="22"/>
          <w:szCs w:val="22"/>
        </w:rPr>
      </w:pPr>
    </w:p>
    <w:p w14:paraId="3D2ECC03" w14:textId="77777777" w:rsidR="00005F4F" w:rsidRPr="00850CC8" w:rsidRDefault="00005F4F"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 xml:space="preserve">This literary observation is not an evasion of the moral difficulty. It is a necessary step toward reading the texts with the cultural intelligence they require. A reader who encounters the herem language and concludes that every inhabitant of every Canaanite city was killed has read the text without the literary context that ancient readers would have brought to it automatically. The book of Joshua itself provides internal evidence against this reading: the same cities said to be utterly destroyed in Joshua appear as inhabited cities requiring reconquest in the book of Judges. Scholars have identified in the conquest </w:t>
        <w:lastRenderedPageBreak/>
        <w:t>narratives what may be described as a Majority Report of swift, complete victory, representing the theological ideal of total covenant loyalty, and a Minority Report of slow, incomplete displacement, representing the historical reality of a protracted and unfinished process.</w:t>
      </w:r>
    </w:p>
    <w:p w14:paraId="47556C9A" w14:textId="77777777" w:rsidR="00005F4F" w:rsidRPr="00850CC8" w:rsidRDefault="00005F4F" w:rsidP="00850CC8">
      <w:pPr>
        <w:spacing w:line="276" w:lineRule="auto"/>
        <w:rPr>
          <w:rFonts w:ascii="Times New Roman" w:hAnsi="Times New Roman" w:cs="Times New Roman"/>
          <w:sz w:val="22"/>
          <w:szCs w:val="22"/>
        </w:rPr>
      </w:pPr>
    </w:p>
    <w:p w14:paraId="33341DCC" w14:textId="77777777" w:rsidR="00005F4F" w:rsidRPr="00850CC8" w:rsidRDefault="00005F4F"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 xml:space="preserve">The second thing to establish about </w:t>
      </w:r>
      <w:r>
        <w:rPr>
          <w:rFonts w:ascii="Times New Roman" w:hAnsi="Times New Roman" w:cs="Times New Roman"/>
          <w:i/>
          <w:iCs/>
          <w:sz w:val="22"/>
          <w:szCs w:val="22"/>
        </w:rPr>
        <w:t>herem</w:t>
      </w:r>
      <w:r>
        <w:rPr>
          <w:rFonts w:ascii="Times New Roman" w:hAnsi="Times New Roman" w:cs="Times New Roman"/>
          <w:sz w:val="22"/>
          <w:szCs w:val="22"/>
        </w:rPr>
        <w:t xml:space="preserve"> is its covenantal function. The command is not a universal moral rule authorizing religiously motivated violence in any context where a community believes itself to be acting under divine instruction. It is a specific covenantal provision addressed to Israel at a specific moment in the history of the covenant, for specific theological reasons connected to the preservation of the covenant community from the practices that were destroying the Canaanite communities.</w:t>
      </w:r>
      <w:r>
        <w:rPr>
          <w:rFonts w:ascii="Times New Roman" w:hAnsi="Times New Roman" w:cs="Times New Roman"/>
          <w:sz w:val="22"/>
          <w:szCs w:val="22"/>
          <w:vertAlign w:val="superscript"/>
        </w:rPr>
        <w:t>6</w:t>
      </w:r>
      <w:r>
        <w:rPr>
          <w:rFonts w:ascii="Times New Roman" w:hAnsi="Times New Roman" w:cs="Times New Roman"/>
          <w:sz w:val="22"/>
          <w:szCs w:val="22"/>
        </w:rPr>
        <w:t xml:space="preserve"> Deuteronomy 20:18 makes the protective logic explicit: the purpose of the </w:t>
      </w:r>
      <w:r>
        <w:rPr>
          <w:rFonts w:ascii="Times New Roman" w:hAnsi="Times New Roman" w:cs="Times New Roman"/>
          <w:i/>
          <w:iCs/>
          <w:sz w:val="22"/>
          <w:szCs w:val="22"/>
        </w:rPr>
        <w:t>herem</w:t>
      </w:r>
      <w:r>
        <w:rPr>
          <w:rFonts w:ascii="Times New Roman" w:hAnsi="Times New Roman" w:cs="Times New Roman"/>
          <w:sz w:val="22"/>
          <w:szCs w:val="22"/>
        </w:rPr>
        <w:t xml:space="preserve"> is to prevent Israel from learning to do the detestable things the Canaanite peoples were doing. The command is not primarily punitive toward the Canaanites; it is protective toward Israel and toward the larger purposes that the covenant with Israel was meant to serve.</w:t>
      </w:r>
    </w:p>
    <w:p w14:paraId="7167EA61" w14:textId="77777777" w:rsidR="00005F4F" w:rsidRPr="00850CC8" w:rsidRDefault="00005F4F" w:rsidP="00850CC8">
      <w:pPr>
        <w:spacing w:line="276" w:lineRule="auto"/>
        <w:rPr>
          <w:rFonts w:ascii="Times New Roman" w:hAnsi="Times New Roman" w:cs="Times New Roman"/>
          <w:sz w:val="22"/>
          <w:szCs w:val="22"/>
        </w:rPr>
      </w:pPr>
    </w:p>
    <w:p w14:paraId="3A97922F" w14:textId="77777777" w:rsidR="00005F4F" w:rsidRPr="00850CC8" w:rsidRDefault="00005F4F"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 xml:space="preserve">The third thing to establish is what Chapter Six already demonstrated through the Rahab narrative: the </w:t>
      </w:r>
      <w:r>
        <w:rPr>
          <w:rFonts w:ascii="Times New Roman" w:hAnsi="Times New Roman" w:cs="Times New Roman"/>
          <w:i/>
          <w:iCs/>
          <w:sz w:val="22"/>
          <w:szCs w:val="22"/>
        </w:rPr>
        <w:t>herem</w:t>
      </w:r>
      <w:r>
        <w:rPr>
          <w:rFonts w:ascii="Times New Roman" w:hAnsi="Times New Roman" w:cs="Times New Roman"/>
          <w:sz w:val="22"/>
          <w:szCs w:val="22"/>
        </w:rPr>
        <w:t xml:space="preserve"> command did not operate without regard to relational reality. The door of mercy remained open until the very last moment to any individual or community that turned toward the God of Israel in faith. Rahab and her household were spared. The Gibeonites, whose deception of Israel in Joshua 9 was a form of desperate faith in the God whose purposes they recognized as unstoppable, were incorporated into the covenant community rather than destroyed. The </w:t>
      </w:r>
      <w:r>
        <w:rPr>
          <w:rFonts w:ascii="Times New Roman" w:hAnsi="Times New Roman" w:cs="Times New Roman"/>
          <w:i/>
          <w:iCs/>
          <w:sz w:val="22"/>
          <w:szCs w:val="22"/>
        </w:rPr>
        <w:t>herem</w:t>
      </w:r>
      <w:r>
        <w:rPr>
          <w:rFonts w:ascii="Times New Roman" w:hAnsi="Times New Roman" w:cs="Times New Roman"/>
          <w:sz w:val="22"/>
          <w:szCs w:val="22"/>
        </w:rPr>
        <w:t xml:space="preserve"> was not an inexorable mechanism that ground forward regardless of the moral and relational realities it encountered. It was a general provision that the relational logic of the covenant could and did override when a new relational reality was created by an act of faith.</w:t>
      </w:r>
    </w:p>
    <w:p w14:paraId="63CFF428" w14:textId="77777777" w:rsidR="00005F4F" w:rsidRPr="00850CC8" w:rsidRDefault="00005F4F" w:rsidP="00850CC8">
      <w:pPr>
        <w:spacing w:line="276" w:lineRule="auto"/>
        <w:rPr>
          <w:rFonts w:ascii="Times New Roman" w:hAnsi="Times New Roman" w:cs="Times New Roman"/>
          <w:sz w:val="22"/>
          <w:szCs w:val="22"/>
        </w:rPr>
      </w:pPr>
    </w:p>
    <w:p w14:paraId="3BD68FA1" w14:textId="77777777" w:rsidR="00005F4F" w:rsidRPr="00850CC8" w:rsidRDefault="00005F4F" w:rsidP="00850CC8">
      <w:pPr>
        <w:spacing w:before="480" w:after="240" w:line="276" w:lineRule="auto"/>
        <w:rPr>
          <w:rFonts w:ascii="Times New Roman" w:hAnsi="Times New Roman" w:cs="Times New Roman"/>
          <w:sz w:val="22"/>
          <w:szCs w:val="22"/>
        </w:rPr>
      </w:pPr>
      <w:r>
        <w:rPr>
          <w:rFonts w:ascii="Times New Roman" w:hAnsi="Times New Roman" w:cs="Times New Roman"/>
          <w:b/>
          <w:bCs/>
          <w:sz w:val="22"/>
          <w:szCs w:val="22"/>
        </w:rPr>
        <w:t>The Moral Cost of Judgment</w:t>
      </w:r>
    </w:p>
    <w:p w14:paraId="3150D8F3" w14:textId="77777777" w:rsidR="00005F4F" w:rsidRPr="00850CC8" w:rsidRDefault="00005F4F" w:rsidP="00850CC8">
      <w:pPr>
        <w:spacing w:line="276" w:lineRule="auto"/>
        <w:jc w:val="both"/>
        <w:rPr>
          <w:rFonts w:ascii="Times New Roman" w:hAnsi="Times New Roman" w:cs="Times New Roman"/>
          <w:sz w:val="22"/>
          <w:szCs w:val="22"/>
        </w:rPr>
      </w:pPr>
      <w:r>
        <w:rPr>
          <w:rFonts w:ascii="Times New Roman" w:hAnsi="Times New Roman" w:cs="Times New Roman"/>
          <w:sz w:val="22"/>
          <w:szCs w:val="22"/>
        </w:rPr>
        <w:t>The framework developed in this book insists on something that apologetic treatments of the conquest narratives sometimes understate: the judgment described in these texts is presented in the biblical narrative itself as morally costly, not as a neutral or purely positive event.</w:t>
      </w:r>
    </w:p>
    <w:p w14:paraId="059FA45E" w14:textId="77777777" w:rsidR="00005F4F" w:rsidRPr="00850CC8" w:rsidRDefault="00005F4F" w:rsidP="00850CC8">
      <w:pPr>
        <w:spacing w:line="276" w:lineRule="auto"/>
        <w:rPr>
          <w:rFonts w:ascii="Times New Roman" w:hAnsi="Times New Roman" w:cs="Times New Roman"/>
          <w:sz w:val="22"/>
          <w:szCs w:val="22"/>
        </w:rPr>
      </w:pPr>
    </w:p>
    <w:p w14:paraId="58716591" w14:textId="77777777" w:rsidR="00005F4F" w:rsidRPr="00850CC8" w:rsidRDefault="00005F4F"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The clearest signal of this is the structural placement of the Rahab narrative. The first extended account in the book of Joshua, before a single city falls, is the story of a Canaanite woman whose faith opens a door of mercy. The narrative is not simply a nice story about an unexpected convert. It is a theological statement about what kind of God is conducting the conquest: a God whose first instinct, even in the execution of long-deferred judgment, is to find and honor the faith that creates a new relational possibility. The door of mercy is shown to be open before the first blow is struck.</w:t>
      </w:r>
    </w:p>
    <w:p w14:paraId="11524717" w14:textId="77777777" w:rsidR="00005F4F" w:rsidRPr="00850CC8" w:rsidRDefault="00005F4F" w:rsidP="00850CC8">
      <w:pPr>
        <w:spacing w:line="276" w:lineRule="auto"/>
        <w:rPr>
          <w:rFonts w:ascii="Times New Roman" w:hAnsi="Times New Roman" w:cs="Times New Roman"/>
          <w:sz w:val="22"/>
          <w:szCs w:val="22"/>
        </w:rPr>
      </w:pPr>
    </w:p>
    <w:p w14:paraId="1C7E07E9" w14:textId="77777777" w:rsidR="00005F4F" w:rsidRPr="00850CC8" w:rsidRDefault="00005F4F"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 xml:space="preserve">The Jonah narrative, though set in a different context, illuminates the same divine character. When God relents from the threatened judgment of Nineveh because the city repents, Jonah’s anger reveals what he had feared: that God was always more inclined toward mercy than toward judgment, and that the threatened destruction was never the destination but the wake-up call. “I knew that you are a gracious God and merciful, slow to anger and abounding in steadfast love, and relenting from disaster” (Jonah 4:2). Jonah’s complaint is, paradoxically, a precise theological description of the divine character. The God who </w:t>
        <w:lastRenderedPageBreak/>
        <w:t>judges Canaan is the same God who refrained from judging Nineveh when Nineveh turned. The difference between the two outcomes is not a difference in divine character. There is a difference in the response of the communities involved.</w:t>
      </w:r>
      <w:r>
        <w:rPr>
          <w:rFonts w:ascii="Times New Roman" w:hAnsi="Times New Roman" w:cs="Times New Roman"/>
          <w:sz w:val="22"/>
          <w:szCs w:val="22"/>
          <w:vertAlign w:val="superscript"/>
        </w:rPr>
        <w:t>7</w:t>
      </w:r>
    </w:p>
    <w:p w14:paraId="2A024538" w14:textId="77777777" w:rsidR="00005F4F" w:rsidRPr="00850CC8" w:rsidRDefault="00005F4F" w:rsidP="00850CC8">
      <w:pPr>
        <w:spacing w:line="276" w:lineRule="auto"/>
        <w:rPr>
          <w:rFonts w:ascii="Times New Roman" w:hAnsi="Times New Roman" w:cs="Times New Roman"/>
          <w:sz w:val="22"/>
          <w:szCs w:val="22"/>
        </w:rPr>
      </w:pPr>
    </w:p>
    <w:p w14:paraId="34264B70" w14:textId="77777777" w:rsidR="00005F4F" w:rsidRPr="00850CC8" w:rsidRDefault="00005F4F"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The Jeremiah and Ezekiel traditions press the same point in the context of Israel’s own judgment. The prophets who announce the Babylonian exile are not triumphant executors of a long-desired sentence. They are broken men who have spent decades calling the covenant people back, watching the calls go unheeded, and then being required to announce the judgment they had tried with everything available to them to prevent. The lamentations that accompany the announcement of judgment in both prophets are not rhetorical decoration. They are expressions of the moral cost that judgment extracts from the God who issues it and from the prophets who are its instruments.</w:t>
      </w:r>
    </w:p>
    <w:p w14:paraId="3C28D637" w14:textId="77777777" w:rsidR="00005F4F" w:rsidRPr="00850CC8" w:rsidRDefault="00005F4F" w:rsidP="00850CC8">
      <w:pPr>
        <w:spacing w:line="276" w:lineRule="auto"/>
        <w:rPr>
          <w:rFonts w:ascii="Times New Roman" w:hAnsi="Times New Roman" w:cs="Times New Roman"/>
          <w:sz w:val="22"/>
          <w:szCs w:val="22"/>
        </w:rPr>
      </w:pPr>
    </w:p>
    <w:p w14:paraId="05AEBD3F" w14:textId="77777777" w:rsidR="00005F4F" w:rsidRPr="00850CC8" w:rsidRDefault="00005F4F"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This moral cost is theologically significant because it confirms something that the relational framework of this book would lead us to expect. If the God in whose image we are made is a God whose inner life is constituted by the perichoretic love described in Chapter Two, then the execution of judgment against creatures who bear that God’s image is not a neutral act. It is the painful terminus of a process that began with creation, continued through patience and warning, was interrupted at every possible point by mercy, and arrives at judgment only when the relational reality that would make any other outcome possible has been persistently and finally refused.</w:t>
      </w:r>
    </w:p>
    <w:p w14:paraId="1B9ED562" w14:textId="77777777" w:rsidR="00005F4F" w:rsidRPr="00850CC8" w:rsidRDefault="00005F4F" w:rsidP="00850CC8">
      <w:pPr>
        <w:spacing w:line="276" w:lineRule="auto"/>
        <w:rPr>
          <w:rFonts w:ascii="Times New Roman" w:hAnsi="Times New Roman" w:cs="Times New Roman"/>
          <w:sz w:val="22"/>
          <w:szCs w:val="22"/>
        </w:rPr>
      </w:pPr>
    </w:p>
    <w:p w14:paraId="376CCC9F" w14:textId="77777777" w:rsidR="00005F4F" w:rsidRPr="00850CC8" w:rsidRDefault="00005F4F" w:rsidP="00850CC8">
      <w:pPr>
        <w:spacing w:before="480" w:after="240" w:line="276" w:lineRule="auto"/>
        <w:rPr>
          <w:rFonts w:ascii="Times New Roman" w:hAnsi="Times New Roman" w:cs="Times New Roman"/>
          <w:sz w:val="22"/>
          <w:szCs w:val="22"/>
        </w:rPr>
      </w:pPr>
      <w:r>
        <w:rPr>
          <w:rFonts w:ascii="Times New Roman" w:hAnsi="Times New Roman" w:cs="Times New Roman"/>
          <w:b/>
          <w:bCs/>
          <w:sz w:val="22"/>
          <w:szCs w:val="22"/>
        </w:rPr>
        <w:t>The Cosmic Dimension</w:t>
      </w:r>
    </w:p>
    <w:p w14:paraId="63F2B631" w14:textId="77777777" w:rsidR="00005F4F" w:rsidRPr="00850CC8" w:rsidRDefault="00005F4F" w:rsidP="00850CC8">
      <w:pPr>
        <w:spacing w:line="276" w:lineRule="auto"/>
        <w:jc w:val="both"/>
        <w:rPr>
          <w:rFonts w:ascii="Times New Roman" w:hAnsi="Times New Roman" w:cs="Times New Roman"/>
          <w:sz w:val="22"/>
          <w:szCs w:val="22"/>
        </w:rPr>
      </w:pPr>
      <w:r>
        <w:rPr>
          <w:rFonts w:ascii="Times New Roman" w:hAnsi="Times New Roman" w:cs="Times New Roman"/>
          <w:sz w:val="22"/>
          <w:szCs w:val="22"/>
        </w:rPr>
        <w:t>There is a dimension of the conquest narratives that the relational framework of this book is particularly well positioned to address, and that tends to be underdeveloped in discussions of these texts. The biblical narrative does not present the occupation of Canaan as a purely human and geopolitical event. It presents it as a moment in a larger cosmic conflict that involves not only human communities but the supernatural beings associated with those communities.</w:t>
      </w:r>
    </w:p>
    <w:p w14:paraId="71446C1C" w14:textId="77777777" w:rsidR="00005F4F" w:rsidRPr="00850CC8" w:rsidRDefault="00005F4F" w:rsidP="00850CC8">
      <w:pPr>
        <w:spacing w:line="276" w:lineRule="auto"/>
        <w:rPr>
          <w:rFonts w:ascii="Times New Roman" w:hAnsi="Times New Roman" w:cs="Times New Roman"/>
          <w:sz w:val="22"/>
          <w:szCs w:val="22"/>
        </w:rPr>
      </w:pPr>
    </w:p>
    <w:p w14:paraId="68F4671B" w14:textId="77777777" w:rsidR="00005F4F" w:rsidRPr="00850CC8" w:rsidRDefault="00005F4F"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Michael Heiser’s work on the divine council and the Deuteronomy 32 worldview is directly relevant here. Deuteronomy 32:8–9, in the reading supported by the Dead Sea Scrolls and the Septuagint, describes the nations as having been apportioned to the “sons of God,” the members of the divine council, while Israel was reserved as the LORD’s own portion. The Canaanite and Amorite nations, on this reading, were not simply human communities practicing corrupt religion independently. They were communities under the jurisdiction of supernatural beings who had themselves become corrupt, extending and deepening the human corruption rather than governing their allotted peoples toward human flourishing.</w:t>
      </w:r>
      <w:r>
        <w:rPr>
          <w:rFonts w:ascii="Times New Roman" w:hAnsi="Times New Roman" w:cs="Times New Roman"/>
          <w:sz w:val="22"/>
          <w:szCs w:val="22"/>
          <w:vertAlign w:val="superscript"/>
        </w:rPr>
        <w:t>8</w:t>
      </w:r>
    </w:p>
    <w:p w14:paraId="0324573F" w14:textId="77777777" w:rsidR="00005F4F" w:rsidRPr="00850CC8" w:rsidRDefault="00005F4F" w:rsidP="00850CC8">
      <w:pPr>
        <w:spacing w:line="276" w:lineRule="auto"/>
        <w:rPr>
          <w:rFonts w:ascii="Times New Roman" w:hAnsi="Times New Roman" w:cs="Times New Roman"/>
          <w:sz w:val="22"/>
          <w:szCs w:val="22"/>
        </w:rPr>
      </w:pPr>
    </w:p>
    <w:p w14:paraId="2433B699" w14:textId="77777777" w:rsidR="00005F4F" w:rsidRPr="00850CC8" w:rsidRDefault="00005F4F"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This cosmic dimension does not reduce the moral seriousness of the human practices at stake or diminish the human responsibility for them. It deepens the picture of what was happening in Canaan during the four centuries of Genesis 15:16. The accumulation of iniquity was not simply the consequence of unaided human moral deterioration. It was the consequence of a corruption that ran from the top of the created order downward, in which the beings responsible for the governance of the nations had themselves abandoned their proper role and were actively participating in the destruction of the human communities under their charge.</w:t>
      </w:r>
    </w:p>
    <w:p w14:paraId="6EF0D397" w14:textId="77777777" w:rsidR="00005F4F" w:rsidRPr="00850CC8" w:rsidRDefault="00005F4F" w:rsidP="00850CC8">
      <w:pPr>
        <w:spacing w:line="276" w:lineRule="auto"/>
        <w:rPr>
          <w:rFonts w:ascii="Times New Roman" w:hAnsi="Times New Roman" w:cs="Times New Roman"/>
          <w:sz w:val="22"/>
          <w:szCs w:val="22"/>
        </w:rPr>
      </w:pPr>
    </w:p>
    <w:p w14:paraId="27F227B1" w14:textId="77777777" w:rsidR="00005F4F" w:rsidRPr="00850CC8" w:rsidRDefault="00005F4F"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The conquest, understood within this cosmic framework, is not simply the punishment of a human community that had crossed a moral threshold. It is the reclamation of territory, both physical and spiritual, that had been corrupted from the top down, as part of the larger divine project of restoring the created order that the divine council’s rebellion had distorted. This is why the conquest is so consistently framed in the biblical narrative as a holy war, not in the sense of religiously motivated ethnic violence, but in the sense of a cosmic conflict between the purposes of the Creator and the corruption of those purposes by beings who had overstepped their proper role.</w:t>
      </w:r>
      <w:r>
        <w:rPr>
          <w:rFonts w:ascii="Times New Roman" w:hAnsi="Times New Roman" w:cs="Times New Roman"/>
          <w:sz w:val="22"/>
          <w:szCs w:val="22"/>
          <w:vertAlign w:val="superscript"/>
        </w:rPr>
        <w:t>9</w:t>
      </w:r>
    </w:p>
    <w:p w14:paraId="0FE97111" w14:textId="77777777" w:rsidR="00005F4F" w:rsidRPr="00850CC8" w:rsidRDefault="00005F4F" w:rsidP="00850CC8">
      <w:pPr>
        <w:spacing w:line="276" w:lineRule="auto"/>
        <w:rPr>
          <w:rFonts w:ascii="Times New Roman" w:hAnsi="Times New Roman" w:cs="Times New Roman"/>
          <w:sz w:val="22"/>
          <w:szCs w:val="22"/>
        </w:rPr>
      </w:pPr>
    </w:p>
    <w:p w14:paraId="09A362C2" w14:textId="77777777" w:rsidR="00005F4F" w:rsidRPr="00850CC8" w:rsidRDefault="00005F4F"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The relational framework developed in this book applies at the cosmic level as fully as at the human level. The obligations of the divine council members toward the nations they governed, and toward the God who had appointed them, were real relational obligations. Their violation of those obligations was a real moral failure, subject to the same logic of patience, warning, and eventual judgment that governs the divine response to human rebellion. The Psalms speak repeatedly of the judgment of the divine assembly (Psalm 82), and the prophetic tradition consistently presents the fall of pagan empires as the judgment not only of their human inhabitants but of the spiritual powers associated with them.</w:t>
      </w:r>
    </w:p>
    <w:p w14:paraId="5C106E30" w14:textId="77777777" w:rsidR="00005F4F" w:rsidRPr="00850CC8" w:rsidRDefault="00005F4F" w:rsidP="00850CC8">
      <w:pPr>
        <w:spacing w:line="276" w:lineRule="auto"/>
        <w:rPr>
          <w:rFonts w:ascii="Times New Roman" w:hAnsi="Times New Roman" w:cs="Times New Roman"/>
          <w:sz w:val="22"/>
          <w:szCs w:val="22"/>
        </w:rPr>
      </w:pPr>
    </w:p>
    <w:p w14:paraId="7D600CBD" w14:textId="77777777" w:rsidR="00005F4F" w:rsidRPr="00850CC8" w:rsidRDefault="00005F4F" w:rsidP="00850CC8">
      <w:pPr>
        <w:spacing w:before="480" w:after="240" w:line="276" w:lineRule="auto"/>
        <w:rPr>
          <w:rFonts w:ascii="Times New Roman" w:hAnsi="Times New Roman" w:cs="Times New Roman"/>
          <w:sz w:val="22"/>
          <w:szCs w:val="22"/>
        </w:rPr>
      </w:pPr>
      <w:r>
        <w:rPr>
          <w:rFonts w:ascii="Times New Roman" w:hAnsi="Times New Roman" w:cs="Times New Roman"/>
          <w:b/>
          <w:bCs/>
          <w:sz w:val="22"/>
          <w:szCs w:val="22"/>
        </w:rPr>
        <w:t>The Christological Frame</w:t>
      </w:r>
    </w:p>
    <w:p w14:paraId="68D59EAD" w14:textId="77777777" w:rsidR="00005F4F" w:rsidRPr="00850CC8" w:rsidRDefault="00005F4F" w:rsidP="00850CC8">
      <w:pPr>
        <w:spacing w:line="276" w:lineRule="auto"/>
        <w:jc w:val="both"/>
        <w:rPr>
          <w:rFonts w:ascii="Times New Roman" w:hAnsi="Times New Roman" w:cs="Times New Roman"/>
          <w:sz w:val="22"/>
          <w:szCs w:val="22"/>
        </w:rPr>
      </w:pPr>
      <w:r>
        <w:rPr>
          <w:rFonts w:ascii="Times New Roman" w:hAnsi="Times New Roman" w:cs="Times New Roman"/>
          <w:sz w:val="22"/>
          <w:szCs w:val="22"/>
        </w:rPr>
        <w:t>The conquest narratives do not have their final meaning within the Old Testament. They are part of a larger story that moves through the prophets, through the exile, through the return, and ultimately to the one in whom the full logic of both patience and judgment is displayed in a single event.</w:t>
      </w:r>
    </w:p>
    <w:p w14:paraId="663541F7" w14:textId="77777777" w:rsidR="00005F4F" w:rsidRPr="00850CC8" w:rsidRDefault="00005F4F" w:rsidP="00850CC8">
      <w:pPr>
        <w:spacing w:line="276" w:lineRule="auto"/>
        <w:rPr>
          <w:rFonts w:ascii="Times New Roman" w:hAnsi="Times New Roman" w:cs="Times New Roman"/>
          <w:sz w:val="22"/>
          <w:szCs w:val="22"/>
        </w:rPr>
      </w:pPr>
    </w:p>
    <w:p w14:paraId="243088E2" w14:textId="77777777" w:rsidR="00005F4F" w:rsidRPr="00850CC8" w:rsidRDefault="00005F4F"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The cross of Christ is the point at which the trajectory of divine patience reaches its most extreme expression and the trajectory of divine judgment reaches its most concentrated execution simultaneously. The patience of God, which had extended across four centuries toward the Amorites and across centuries more toward Israel, extends now to the bearing of the accumulated weight of human and cosmic rebellion in the person of the Son. The judgment that had fallen on Canaan, on Israel, on the nations, falls now on the one who stands in the place of the creatures whose rebellion has been accumulating since the beginning.</w:t>
      </w:r>
    </w:p>
    <w:p w14:paraId="75000C02" w14:textId="77777777" w:rsidR="00005F4F" w:rsidRPr="00850CC8" w:rsidRDefault="00005F4F" w:rsidP="00850CC8">
      <w:pPr>
        <w:spacing w:line="276" w:lineRule="auto"/>
        <w:rPr>
          <w:rFonts w:ascii="Times New Roman" w:hAnsi="Times New Roman" w:cs="Times New Roman"/>
          <w:sz w:val="22"/>
          <w:szCs w:val="22"/>
        </w:rPr>
      </w:pPr>
    </w:p>
    <w:p w14:paraId="1DD994A0" w14:textId="77777777" w:rsidR="00005F4F" w:rsidRPr="00850CC8" w:rsidRDefault="00005F4F"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Oliver O’Donovan’s insistence that the resurrection of Christ is the confirmation of the created moral order, rather than its replacement, is directly relevant here. The cross does not reveal that the judgments of the Old Testament were mistakes that needed to be corrected by a more merciful dispensation. It reveals the ultimate depth of the patience that was always at work in those judgments: that the God who waited four centuries before moving against the Amorites was the same God who would wait, at the end, until there was no other way to reconcile justice and mercy than to bear the cost of both himself.</w:t>
      </w:r>
      <w:r>
        <w:rPr>
          <w:rFonts w:ascii="Times New Roman" w:hAnsi="Times New Roman" w:cs="Times New Roman"/>
          <w:sz w:val="22"/>
          <w:szCs w:val="22"/>
          <w:vertAlign w:val="superscript"/>
        </w:rPr>
        <w:t>10</w:t>
      </w:r>
    </w:p>
    <w:p w14:paraId="3F27872E" w14:textId="77777777" w:rsidR="00005F4F" w:rsidRPr="00850CC8" w:rsidRDefault="00005F4F" w:rsidP="00850CC8">
      <w:pPr>
        <w:spacing w:line="276" w:lineRule="auto"/>
        <w:rPr>
          <w:rFonts w:ascii="Times New Roman" w:hAnsi="Times New Roman" w:cs="Times New Roman"/>
          <w:sz w:val="22"/>
          <w:szCs w:val="22"/>
        </w:rPr>
      </w:pPr>
    </w:p>
    <w:p w14:paraId="6A79CD5E" w14:textId="77777777" w:rsidR="00005F4F" w:rsidRPr="00850CC8" w:rsidRDefault="00005F4F"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 xml:space="preserve">The christological frame also reshapes how we read the </w:t>
      </w:r>
      <w:r>
        <w:rPr>
          <w:rFonts w:ascii="Times New Roman" w:hAnsi="Times New Roman" w:cs="Times New Roman"/>
          <w:i/>
          <w:iCs/>
          <w:sz w:val="22"/>
          <w:szCs w:val="22"/>
        </w:rPr>
        <w:t>herem</w:t>
      </w:r>
      <w:r>
        <w:rPr>
          <w:rFonts w:ascii="Times New Roman" w:hAnsi="Times New Roman" w:cs="Times New Roman"/>
          <w:sz w:val="22"/>
          <w:szCs w:val="22"/>
        </w:rPr>
        <w:t xml:space="preserve"> command in retrospect. The devotion to destruction that the </w:t>
      </w:r>
      <w:r>
        <w:rPr>
          <w:rFonts w:ascii="Times New Roman" w:hAnsi="Times New Roman" w:cs="Times New Roman"/>
          <w:i/>
          <w:iCs/>
          <w:sz w:val="22"/>
          <w:szCs w:val="22"/>
        </w:rPr>
        <w:t>herem</w:t>
      </w:r>
      <w:r>
        <w:rPr>
          <w:rFonts w:ascii="Times New Roman" w:hAnsi="Times New Roman" w:cs="Times New Roman"/>
          <w:sz w:val="22"/>
          <w:szCs w:val="22"/>
        </w:rPr>
        <w:t xml:space="preserve"> encoded, the radical severance of corrupted territory from the life of the covenant community, finds its ultimate expression not in the burning of Canaanite cities but in the death of the one who bore the sin of the world outside the gate of Jerusalem (Hebrews 13:12). The spatial and military logic of the conquest is transfigured into a cosmic and substitutionary logic: the corruption that the </w:t>
      </w:r>
      <w:r>
        <w:rPr>
          <w:rFonts w:ascii="Times New Roman" w:hAnsi="Times New Roman" w:cs="Times New Roman"/>
          <w:i/>
          <w:iCs/>
          <w:sz w:val="22"/>
          <w:szCs w:val="22"/>
        </w:rPr>
        <w:t>herem</w:t>
      </w:r>
      <w:r>
        <w:rPr>
          <w:rFonts w:ascii="Times New Roman" w:hAnsi="Times New Roman" w:cs="Times New Roman"/>
          <w:sz w:val="22"/>
          <w:szCs w:val="22"/>
        </w:rPr>
        <w:t xml:space="preserve"> was designed to quarantine is now dealt with at its root, in the person of the one who became a curse </w:t>
        <w:lastRenderedPageBreak/>
        <w:t>for us (Galatians 3:13) so that the long patience of God could issue not in the destruction of the corrupted but in their redemption.</w:t>
      </w:r>
    </w:p>
    <w:p w14:paraId="5DC8914C" w14:textId="77777777" w:rsidR="00005F4F" w:rsidRPr="00850CC8" w:rsidRDefault="00005F4F" w:rsidP="00850CC8">
      <w:pPr>
        <w:spacing w:line="276" w:lineRule="auto"/>
        <w:rPr>
          <w:rFonts w:ascii="Times New Roman" w:hAnsi="Times New Roman" w:cs="Times New Roman"/>
          <w:sz w:val="22"/>
          <w:szCs w:val="22"/>
        </w:rPr>
      </w:pPr>
    </w:p>
    <w:p w14:paraId="727AFE00" w14:textId="77777777" w:rsidR="00005F4F" w:rsidRPr="00850CC8" w:rsidRDefault="00005F4F"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This is not an argument that the conquest narratives are simply allegories pointing forward to the cross, or that their historical and moral difficulties disappear when they are read christologically. They do not disappear. The christological frame does not make the destruction of Canaanite cities easy to contemplate or fully to understand. What it does is place those events within the arc of a story whose trajectory is not toward increasing violence but toward the bearing of violence by the one who could absorb it without being destroyed by it, and whose resurrection is the confirmation that the long patience of God had a destination that was always mercy rather than judgment.</w:t>
      </w:r>
    </w:p>
    <w:p w14:paraId="736F4DB1" w14:textId="77777777" w:rsidR="00005F4F" w:rsidRPr="00850CC8" w:rsidRDefault="00005F4F" w:rsidP="00850CC8">
      <w:pPr>
        <w:spacing w:line="276" w:lineRule="auto"/>
        <w:rPr>
          <w:rFonts w:ascii="Times New Roman" w:hAnsi="Times New Roman" w:cs="Times New Roman"/>
          <w:sz w:val="22"/>
          <w:szCs w:val="22"/>
        </w:rPr>
      </w:pPr>
    </w:p>
    <w:p w14:paraId="10047DB5" w14:textId="77777777" w:rsidR="00005F4F" w:rsidRPr="00850CC8" w:rsidRDefault="00005F4F" w:rsidP="00850CC8">
      <w:pPr>
        <w:spacing w:before="480" w:after="240" w:line="276" w:lineRule="auto"/>
        <w:rPr>
          <w:rFonts w:ascii="Times New Roman" w:hAnsi="Times New Roman" w:cs="Times New Roman"/>
          <w:sz w:val="22"/>
          <w:szCs w:val="22"/>
        </w:rPr>
      </w:pPr>
      <w:r>
        <w:rPr>
          <w:rFonts w:ascii="Times New Roman" w:hAnsi="Times New Roman" w:cs="Times New Roman"/>
          <w:b/>
          <w:bCs/>
          <w:sz w:val="22"/>
          <w:szCs w:val="22"/>
        </w:rPr>
        <w:t>What Remains Difficult</w:t>
      </w:r>
    </w:p>
    <w:p w14:paraId="17574CB7" w14:textId="77777777" w:rsidR="00005F4F" w:rsidRPr="00850CC8" w:rsidRDefault="00005F4F" w:rsidP="00850CC8">
      <w:pPr>
        <w:spacing w:line="276" w:lineRule="auto"/>
        <w:jc w:val="both"/>
        <w:rPr>
          <w:rFonts w:ascii="Times New Roman" w:hAnsi="Times New Roman" w:cs="Times New Roman"/>
          <w:sz w:val="22"/>
          <w:szCs w:val="22"/>
        </w:rPr>
      </w:pPr>
      <w:r>
        <w:rPr>
          <w:rFonts w:ascii="Times New Roman" w:hAnsi="Times New Roman" w:cs="Times New Roman"/>
          <w:sz w:val="22"/>
          <w:szCs w:val="22"/>
        </w:rPr>
        <w:t>It is worth pausing before the final section of this chapter to acknowledge, without softening, what remains honestly difficult in this material.</w:t>
      </w:r>
    </w:p>
    <w:p w14:paraId="0B26D8A8" w14:textId="77777777" w:rsidR="00005F4F" w:rsidRPr="00850CC8" w:rsidRDefault="00005F4F" w:rsidP="00850CC8">
      <w:pPr>
        <w:spacing w:line="276" w:lineRule="auto"/>
        <w:rPr>
          <w:rFonts w:ascii="Times New Roman" w:hAnsi="Times New Roman" w:cs="Times New Roman"/>
          <w:sz w:val="22"/>
          <w:szCs w:val="22"/>
        </w:rPr>
      </w:pPr>
    </w:p>
    <w:p w14:paraId="6C526624" w14:textId="77777777" w:rsidR="00005F4F" w:rsidRPr="00850CC8" w:rsidRDefault="00005F4F"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The question of children is the hardest. Whatever moral account can be given of the judgment of adult communities that have persisted in practices destructive of human flourishing, the inclusion of children within the scope of the herem command is not something the relational framework of this book can make easy. Children are not moral agents in the sense that would make them subjects of the kind of judgment that the four centuries of Genesis 15:16 describe. They have not accumulated iniquity. They have not refused the overtures of repentance. They are present in these narratives in a way that resists the framework’s explanatory categories.</w:t>
      </w:r>
    </w:p>
    <w:p w14:paraId="30256D5D" w14:textId="77777777" w:rsidR="00005F4F" w:rsidRPr="00850CC8" w:rsidRDefault="00005F4F" w:rsidP="00850CC8">
      <w:pPr>
        <w:spacing w:line="276" w:lineRule="auto"/>
        <w:rPr>
          <w:rFonts w:ascii="Times New Roman" w:hAnsi="Times New Roman" w:cs="Times New Roman"/>
          <w:sz w:val="22"/>
          <w:szCs w:val="22"/>
        </w:rPr>
      </w:pPr>
    </w:p>
    <w:p w14:paraId="26E14D0C" w14:textId="77777777" w:rsidR="00005F4F" w:rsidRPr="00850CC8" w:rsidRDefault="00005F4F"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The most honest thing that can be said here is what Terence Fretheim has said about the divine violence passages more broadly: that the biblical text itself contains within it the resources for questioning the actions it describes, and that Abraham’s challenge to God in Genesis 18, “Shall not the Judge of all the earth do what is just?,” remains a live question within the canon.</w:t>
      </w:r>
      <w:r>
        <w:rPr>
          <w:rFonts w:ascii="Times New Roman" w:hAnsi="Times New Roman" w:cs="Times New Roman"/>
          <w:sz w:val="22"/>
          <w:szCs w:val="22"/>
          <w:vertAlign w:val="superscript"/>
        </w:rPr>
        <w:t>11</w:t>
      </w:r>
      <w:r>
        <w:rPr>
          <w:rFonts w:ascii="Times New Roman" w:hAnsi="Times New Roman" w:cs="Times New Roman"/>
          <w:sz w:val="22"/>
          <w:szCs w:val="22"/>
        </w:rPr>
        <w:t xml:space="preserve"> The question is not answered by explaining it away. It is held in tension with the testimony of the character of God that runs through the whole of the biblical narrative, the testimony of a God who takes no pleasure in the death of the wicked and whose patience across four centuries was precisely an attempt to prevent the outcome that finally proved unavoidable.</w:t>
      </w:r>
    </w:p>
    <w:p w14:paraId="2C558B0B" w14:textId="77777777" w:rsidR="00005F4F" w:rsidRPr="00850CC8" w:rsidRDefault="00005F4F" w:rsidP="00850CC8">
      <w:pPr>
        <w:spacing w:line="276" w:lineRule="auto"/>
        <w:rPr>
          <w:rFonts w:ascii="Times New Roman" w:hAnsi="Times New Roman" w:cs="Times New Roman"/>
          <w:sz w:val="22"/>
          <w:szCs w:val="22"/>
        </w:rPr>
      </w:pPr>
    </w:p>
    <w:p w14:paraId="68C3FBFC" w14:textId="77777777" w:rsidR="00005F4F" w:rsidRPr="00850CC8" w:rsidRDefault="00005F4F"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The literary and rhetorical arguments about herem as conventional hyperbole, and the cosmic framework that places the corruption of Canaan within the larger narrative of the divine council’s rebellion, provide real interpretive resources. But they do not dissolve the moral difficulty, and intellectual honesty requires saying so. The framework developed in this book offers a coherent account of the relational logic that governs the conquest narratives. It does not offer a fully satisfying account of every dimension of those narratives. The questions that remain are questions worth holding, and holding them without false resolution is itself a form of intellectual and moral integrity.</w:t>
      </w:r>
    </w:p>
    <w:p w14:paraId="41A6EE54" w14:textId="77777777" w:rsidR="00005F4F" w:rsidRPr="00850CC8" w:rsidRDefault="00005F4F" w:rsidP="00850CC8">
      <w:pPr>
        <w:spacing w:line="276" w:lineRule="auto"/>
        <w:rPr>
          <w:rFonts w:ascii="Times New Roman" w:hAnsi="Times New Roman" w:cs="Times New Roman"/>
          <w:sz w:val="22"/>
          <w:szCs w:val="22"/>
        </w:rPr>
      </w:pPr>
    </w:p>
    <w:p w14:paraId="3C11E90D" w14:textId="77777777" w:rsidR="00005F4F" w:rsidRPr="00850CC8" w:rsidRDefault="00005F4F" w:rsidP="00850CC8">
      <w:pPr>
        <w:spacing w:before="480" w:after="240" w:line="276" w:lineRule="auto"/>
        <w:rPr>
          <w:rFonts w:ascii="Times New Roman" w:hAnsi="Times New Roman" w:cs="Times New Roman"/>
          <w:sz w:val="22"/>
          <w:szCs w:val="22"/>
        </w:rPr>
      </w:pPr>
      <w:r>
        <w:rPr>
          <w:rFonts w:ascii="Times New Roman" w:hAnsi="Times New Roman" w:cs="Times New Roman"/>
          <w:b/>
          <w:bCs/>
          <w:sz w:val="22"/>
          <w:szCs w:val="22"/>
        </w:rPr>
        <w:lastRenderedPageBreak/>
        <w:t>Looking Ahead</w:t>
      </w:r>
    </w:p>
    <w:p w14:paraId="16267E14" w14:textId="77777777" w:rsidR="00005F4F" w:rsidRPr="00850CC8" w:rsidRDefault="00005F4F" w:rsidP="00850CC8">
      <w:pPr>
        <w:spacing w:line="276" w:lineRule="auto"/>
        <w:jc w:val="both"/>
        <w:rPr>
          <w:rFonts w:ascii="Times New Roman" w:hAnsi="Times New Roman" w:cs="Times New Roman"/>
          <w:sz w:val="22"/>
          <w:szCs w:val="22"/>
        </w:rPr>
      </w:pPr>
      <w:r>
        <w:rPr>
          <w:rFonts w:ascii="Times New Roman" w:hAnsi="Times New Roman" w:cs="Times New Roman"/>
          <w:sz w:val="22"/>
          <w:szCs w:val="22"/>
        </w:rPr>
        <w:t>The second movement of this book, which began with Chapter Four’s account of the four qualities of the moral life and has moved through the grammar of the love commandments and the testing of the framework against the hardest biblical narratives, is now complete. The framework has been shown to be coherent: it can account for the hopeful face of relational love in the stories of Abraham and Rahab, and it can account, with appropriate honesty about what remains difficult, for the darker face of relational love in the conquest narratives and the logic of divine patience that undergirds them.</w:t>
      </w:r>
    </w:p>
    <w:p w14:paraId="5DBF7D63" w14:textId="77777777" w:rsidR="00005F4F" w:rsidRPr="00850CC8" w:rsidRDefault="00005F4F" w:rsidP="00850CC8">
      <w:pPr>
        <w:spacing w:line="276" w:lineRule="auto"/>
        <w:rPr>
          <w:rFonts w:ascii="Times New Roman" w:hAnsi="Times New Roman" w:cs="Times New Roman"/>
          <w:sz w:val="22"/>
          <w:szCs w:val="22"/>
        </w:rPr>
      </w:pPr>
    </w:p>
    <w:p w14:paraId="163A1AAE" w14:textId="77777777" w:rsidR="00005F4F" w:rsidRPr="00850CC8" w:rsidRDefault="00005F4F"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The third movement turns to the two questions that the framework, having been established and tested, is now in a position to address more directly. Chapter Twelve takes up the question of justice: how the relational framework of this book accounts for the demands of justice, and whether retributive and restorative accounts of justice are as opposed as they are often presented, or whether both are expressions of the same reflexive love operating in different directions within a broken relational order. Chapter Thirteen sets the whole argument within its ultimate frame: the conviction that the world was created as a theatre of divine self-revelation, and that the moral life is, at its deepest level, a participation in the demonstration of who God is.</w:t>
      </w:r>
    </w:p>
    <w:p w14:paraId="4E1E4546" w14:textId="77777777" w:rsidR="00005F4F" w:rsidRPr="00850CC8" w:rsidRDefault="00005F4F" w:rsidP="00850CC8">
      <w:pPr>
        <w:spacing w:line="276" w:lineRule="auto"/>
        <w:rPr>
          <w:rFonts w:ascii="Times New Roman" w:hAnsi="Times New Roman" w:cs="Times New Roman"/>
          <w:sz w:val="22"/>
          <w:szCs w:val="22"/>
        </w:rPr>
      </w:pPr>
    </w:p>
    <w:p w14:paraId="7A5473E1" w14:textId="77777777" w:rsidR="00005F4F" w:rsidRPr="00850CC8" w:rsidRDefault="00005F4F" w:rsidP="00850CC8">
      <w:pPr>
        <w:spacing w:line="276" w:lineRule="auto"/>
        <w:rPr>
          <w:rFonts w:ascii="Times New Roman" w:hAnsi="Times New Roman" w:cs="Times New Roman"/>
          <w:sz w:val="22"/>
          <w:szCs w:val="22"/>
        </w:rPr>
      </w:pPr>
    </w:p>
    <w:p w14:paraId="14EE7CB2" w14:textId="77777777" w:rsidR="00005F4F" w:rsidRPr="00850CC8" w:rsidRDefault="00005F4F" w:rsidP="00850CC8">
      <w:pPr>
        <w:spacing w:before="480" w:after="240" w:line="276" w:lineRule="auto"/>
        <w:rPr>
          <w:rFonts w:ascii="Times New Roman" w:hAnsi="Times New Roman" w:cs="Times New Roman"/>
          <w:sz w:val="22"/>
          <w:szCs w:val="22"/>
        </w:rPr>
      </w:pPr>
      <w:r>
        <w:rPr>
          <w:rFonts w:ascii="Times New Roman" w:hAnsi="Times New Roman" w:cs="Times New Roman"/>
          <w:b/>
          <w:bCs/>
          <w:sz w:val="22"/>
          <w:szCs w:val="22"/>
        </w:rPr>
        <w:t>Notes</w:t>
      </w:r>
    </w:p>
    <w:p w14:paraId="1C32792E" w14:textId="77777777" w:rsidR="00005F4F" w:rsidRPr="00850CC8" w:rsidRDefault="00005F4F" w:rsidP="00850CC8">
      <w:pPr>
        <w:spacing w:before="120" w:line="276" w:lineRule="auto"/>
        <w:ind w:firstLine="720"/>
        <w:jc w:val="both"/>
        <w:rPr>
          <w:rFonts w:ascii="Times New Roman" w:hAnsi="Times New Roman" w:cs="Times New Roman"/>
          <w:sz w:val="22"/>
          <w:szCs w:val="22"/>
        </w:rPr>
      </w:pPr>
      <w:r>
        <w:rPr>
          <w:rFonts w:ascii="Times New Roman" w:hAnsi="Times New Roman" w:cs="Times New Roman"/>
          <w:sz w:val="22"/>
          <w:szCs w:val="22"/>
        </w:rPr>
        <w:t xml:space="preserve">1. The asymmetry between the extension of mercy to thousands and the limitation of punishment to three or four generations in Exodus 34:6–7 has been noted by a number of interpreters. John Goldingay, </w:t>
      </w:r>
      <w:r>
        <w:rPr>
          <w:rFonts w:ascii="Times New Roman" w:hAnsi="Times New Roman" w:cs="Times New Roman"/>
          <w:i/>
          <w:iCs/>
          <w:sz w:val="22"/>
          <w:szCs w:val="22"/>
        </w:rPr>
        <w:t>Old Testament Theology, vol. 1: Israel’s Gospel</w:t>
      </w:r>
      <w:r>
        <w:rPr>
          <w:rFonts w:ascii="Times New Roman" w:hAnsi="Times New Roman" w:cs="Times New Roman"/>
          <w:sz w:val="22"/>
          <w:szCs w:val="22"/>
        </w:rPr>
        <w:t xml:space="preserve"> (Downers Grove: IVP Academic, 2003), 167, calculates that the ratio of mercy to punishment in the formula is at least five hundred to one, and argues that this asymmetry is theologically deliberate: it encodes the claim that mercy, not judgment, is the grain of the divine character. For the centrality of this formula to Old Testament theology more broadly, see Walter Brueggemann, </w:t>
      </w:r>
      <w:r>
        <w:rPr>
          <w:rFonts w:ascii="Times New Roman" w:hAnsi="Times New Roman" w:cs="Times New Roman"/>
          <w:i/>
          <w:iCs/>
          <w:sz w:val="22"/>
          <w:szCs w:val="22"/>
        </w:rPr>
        <w:t>Theology of the Old Testament: Testimony, Dispute, Advocacy</w:t>
      </w:r>
      <w:r>
        <w:rPr>
          <w:rFonts w:ascii="Times New Roman" w:hAnsi="Times New Roman" w:cs="Times New Roman"/>
          <w:sz w:val="22"/>
          <w:szCs w:val="22"/>
        </w:rPr>
        <w:t xml:space="preserve"> (Minneapolis: Fortress, 1997), 215–228.</w:t>
      </w:r>
    </w:p>
    <w:p w14:paraId="575F9C3F" w14:textId="77777777" w:rsidR="00005F4F" w:rsidRPr="00850CC8" w:rsidRDefault="00005F4F" w:rsidP="00850CC8">
      <w:pPr>
        <w:spacing w:line="276" w:lineRule="auto"/>
        <w:rPr>
          <w:rFonts w:ascii="Times New Roman" w:hAnsi="Times New Roman" w:cs="Times New Roman"/>
          <w:sz w:val="22"/>
          <w:szCs w:val="22"/>
        </w:rPr>
      </w:pPr>
    </w:p>
    <w:p w14:paraId="09FA021E" w14:textId="77777777" w:rsidR="00005F4F" w:rsidRPr="00850CC8" w:rsidRDefault="00005F4F" w:rsidP="00850CC8">
      <w:pPr>
        <w:spacing w:before="120" w:line="276" w:lineRule="auto"/>
        <w:ind w:firstLine="720"/>
        <w:jc w:val="both"/>
        <w:rPr>
          <w:rFonts w:ascii="Times New Roman" w:hAnsi="Times New Roman" w:cs="Times New Roman"/>
          <w:sz w:val="22"/>
          <w:szCs w:val="22"/>
        </w:rPr>
      </w:pPr>
      <w:r>
        <w:rPr>
          <w:rFonts w:ascii="Times New Roman" w:hAnsi="Times New Roman" w:cs="Times New Roman"/>
          <w:sz w:val="22"/>
          <w:szCs w:val="22"/>
        </w:rPr>
        <w:t xml:space="preserve">2. John Goldingay, </w:t>
      </w:r>
      <w:r>
        <w:rPr>
          <w:rFonts w:ascii="Times New Roman" w:hAnsi="Times New Roman" w:cs="Times New Roman"/>
          <w:i/>
          <w:iCs/>
          <w:sz w:val="22"/>
          <w:szCs w:val="22"/>
        </w:rPr>
        <w:t>Genesis</w:t>
      </w:r>
      <w:r>
        <w:rPr>
          <w:rFonts w:ascii="Times New Roman" w:hAnsi="Times New Roman" w:cs="Times New Roman"/>
          <w:sz w:val="22"/>
          <w:szCs w:val="22"/>
        </w:rPr>
        <w:t xml:space="preserve"> (Grand Rapids: Baker Academic, 2020), 268–270. Goldingay’s analysis of the phrase “the iniquity of the Amorites is not yet complete” situates it within the broader Old Testament theology of the “filling up” of sin, a pattern in which divine judgment is consistently portrayed as the response to an accumulation that has reached a limit rather than as an arbitrary or sudden intervention. The same pattern is visible in Jeremiah 15:1–9, Ezekiel 7:1–14, and Daniel 8:23.</w:t>
      </w:r>
    </w:p>
    <w:p w14:paraId="572FFB95" w14:textId="77777777" w:rsidR="00005F4F" w:rsidRPr="00850CC8" w:rsidRDefault="00005F4F" w:rsidP="00850CC8">
      <w:pPr>
        <w:spacing w:line="276" w:lineRule="auto"/>
        <w:rPr>
          <w:rFonts w:ascii="Times New Roman" w:hAnsi="Times New Roman" w:cs="Times New Roman"/>
          <w:sz w:val="22"/>
          <w:szCs w:val="22"/>
        </w:rPr>
      </w:pPr>
    </w:p>
    <w:p w14:paraId="66D3764B" w14:textId="77777777" w:rsidR="00005F4F" w:rsidRPr="00850CC8" w:rsidRDefault="00005F4F" w:rsidP="00850CC8">
      <w:pPr>
        <w:spacing w:before="120" w:line="276" w:lineRule="auto"/>
        <w:ind w:firstLine="720"/>
        <w:jc w:val="both"/>
        <w:rPr>
          <w:rFonts w:ascii="Times New Roman" w:hAnsi="Times New Roman" w:cs="Times New Roman"/>
          <w:sz w:val="22"/>
          <w:szCs w:val="22"/>
        </w:rPr>
      </w:pPr>
      <w:r>
        <w:rPr>
          <w:rFonts w:ascii="Times New Roman" w:hAnsi="Times New Roman" w:cs="Times New Roman"/>
          <w:sz w:val="22"/>
          <w:szCs w:val="22"/>
        </w:rPr>
        <w:t xml:space="preserve">3. The framing of Leviticus 18 as an account of specifically Canaanite practices is analyzed in John E. Hartley, </w:t>
      </w:r>
      <w:r>
        <w:rPr>
          <w:rFonts w:ascii="Times New Roman" w:hAnsi="Times New Roman" w:cs="Times New Roman"/>
          <w:i/>
          <w:iCs/>
          <w:sz w:val="22"/>
          <w:szCs w:val="22"/>
        </w:rPr>
        <w:t>Leviticus</w:t>
      </w:r>
      <w:r>
        <w:rPr>
          <w:rFonts w:ascii="Times New Roman" w:hAnsi="Times New Roman" w:cs="Times New Roman"/>
          <w:sz w:val="22"/>
          <w:szCs w:val="22"/>
        </w:rPr>
        <w:t xml:space="preserve">, Word Biblical Commentary (Dallas: Word Books, 1992), 285–292. Hartley argues that the repeated reference to the practices of both Egypt and Canaan in the chapter’s framing (18:3, 24–30) is not merely rhetorical but reflects the author’s concern to situate the prohibitions within a specific historical and cultural context, identifying them as practices that were demonstrably operative in the communities Israel was leaving and entering. The Molech worship mentioned in 18:21 is directly connected </w:t>
        <w:lastRenderedPageBreak/>
        <w:t xml:space="preserve">to child sacrifice in a number of Second Temple Jewish texts; see John Day, </w:t>
      </w:r>
      <w:r>
        <w:rPr>
          <w:rFonts w:ascii="Times New Roman" w:hAnsi="Times New Roman" w:cs="Times New Roman"/>
          <w:i/>
          <w:iCs/>
          <w:sz w:val="22"/>
          <w:szCs w:val="22"/>
        </w:rPr>
        <w:t>Molech: A God of Human Sacrifice in the Old Testament</w:t>
      </w:r>
      <w:r>
        <w:rPr>
          <w:rFonts w:ascii="Times New Roman" w:hAnsi="Times New Roman" w:cs="Times New Roman"/>
          <w:sz w:val="22"/>
          <w:szCs w:val="22"/>
        </w:rPr>
        <w:t xml:space="preserve"> (Cambridge: Cambridge University Press, 1989), 1–32.</w:t>
      </w:r>
    </w:p>
    <w:p w14:paraId="596DFC0D" w14:textId="77777777" w:rsidR="00005F4F" w:rsidRPr="00850CC8" w:rsidRDefault="00005F4F" w:rsidP="00850CC8">
      <w:pPr>
        <w:spacing w:line="276" w:lineRule="auto"/>
        <w:rPr>
          <w:rFonts w:ascii="Times New Roman" w:hAnsi="Times New Roman" w:cs="Times New Roman"/>
          <w:sz w:val="22"/>
          <w:szCs w:val="22"/>
        </w:rPr>
      </w:pPr>
    </w:p>
    <w:p w14:paraId="6B6B72A2" w14:textId="77777777" w:rsidR="00005F4F" w:rsidRPr="00850CC8" w:rsidRDefault="00005F4F" w:rsidP="00850CC8">
      <w:pPr>
        <w:spacing w:before="120" w:line="276" w:lineRule="auto"/>
        <w:ind w:firstLine="720"/>
        <w:jc w:val="both"/>
        <w:rPr>
          <w:rFonts w:ascii="Times New Roman" w:hAnsi="Times New Roman" w:cs="Times New Roman"/>
          <w:sz w:val="22"/>
          <w:szCs w:val="22"/>
        </w:rPr>
      </w:pPr>
      <w:r>
        <w:rPr>
          <w:rFonts w:ascii="Times New Roman" w:hAnsi="Times New Roman" w:cs="Times New Roman"/>
          <w:sz w:val="22"/>
          <w:szCs w:val="22"/>
        </w:rPr>
        <w:t xml:space="preserve">4. Paul Copan and Matthew Flannagan, </w:t>
      </w:r>
      <w:r>
        <w:rPr>
          <w:rFonts w:ascii="Times New Roman" w:hAnsi="Times New Roman" w:cs="Times New Roman"/>
          <w:i/>
          <w:iCs/>
          <w:sz w:val="22"/>
          <w:szCs w:val="22"/>
        </w:rPr>
        <w:t>Did God Really Command Genocide? Coming to Terms with the Justice of God</w:t>
      </w:r>
      <w:r>
        <w:rPr>
          <w:rFonts w:ascii="Times New Roman" w:hAnsi="Times New Roman" w:cs="Times New Roman"/>
          <w:sz w:val="22"/>
          <w:szCs w:val="22"/>
        </w:rPr>
        <w:t xml:space="preserve"> (Grand Rapids: Baker Books, 2014), 59–78. Copan and Flannagan’s distinction between judgment under natural law and judgment under covenant law is one of the most useful analytical contributions to the recent discussion of these texts. Their argument is that God’s accountability of the Canaanite and Amorite peoples to the moral law written on the human conscience, rather than to the specifics of the Mosaic covenant, is consistent with the Pauline account of general revelation in Romans 1–2 and with the broader biblical pattern of divine accountability extending to all peoples rather than only to the covenant community.</w:t>
      </w:r>
    </w:p>
    <w:p w14:paraId="1419B0FB" w14:textId="77777777" w:rsidR="00005F4F" w:rsidRPr="00850CC8" w:rsidRDefault="00005F4F" w:rsidP="00850CC8">
      <w:pPr>
        <w:spacing w:line="276" w:lineRule="auto"/>
        <w:rPr>
          <w:rFonts w:ascii="Times New Roman" w:hAnsi="Times New Roman" w:cs="Times New Roman"/>
          <w:sz w:val="22"/>
          <w:szCs w:val="22"/>
        </w:rPr>
      </w:pPr>
    </w:p>
    <w:p w14:paraId="38A7580A" w14:textId="77777777" w:rsidR="00005F4F" w:rsidRPr="00850CC8" w:rsidRDefault="00005F4F" w:rsidP="00850CC8">
      <w:pPr>
        <w:spacing w:before="120" w:line="276" w:lineRule="auto"/>
        <w:ind w:firstLine="720"/>
        <w:jc w:val="both"/>
        <w:rPr>
          <w:rFonts w:ascii="Times New Roman" w:hAnsi="Times New Roman" w:cs="Times New Roman"/>
          <w:sz w:val="22"/>
          <w:szCs w:val="22"/>
        </w:rPr>
      </w:pPr>
      <w:r>
        <w:rPr>
          <w:rFonts w:ascii="Times New Roman" w:hAnsi="Times New Roman" w:cs="Times New Roman"/>
          <w:sz w:val="22"/>
          <w:szCs w:val="22"/>
        </w:rPr>
        <w:t xml:space="preserve">5. K. Lawson Younger Jr., </w:t>
      </w:r>
      <w:r>
        <w:rPr>
          <w:rFonts w:ascii="Times New Roman" w:hAnsi="Times New Roman" w:cs="Times New Roman"/>
          <w:i/>
          <w:iCs/>
          <w:sz w:val="22"/>
          <w:szCs w:val="22"/>
        </w:rPr>
        <w:t>Ancient Conquest Accounts: A Study in Ancient Near Eastern and Biblical History Writing</w:t>
      </w:r>
      <w:r>
        <w:rPr>
          <w:rFonts w:ascii="Times New Roman" w:hAnsi="Times New Roman" w:cs="Times New Roman"/>
          <w:sz w:val="22"/>
          <w:szCs w:val="22"/>
        </w:rPr>
        <w:t xml:space="preserve"> (Sheffield: Sheffield Academic Press, 1990), 210–245. Younger’s comparative literary analysis remains the standard treatment of the rhetorical conventions of ancient conquest literature. His demonstration that the language of total destruction was a conventional idiom across multiple ancient Near Eastern cultures, employed to describe the completeness of a military victory and the absolute loyalty of the conquering party to their deity, is directly relevant to the interpretation of the </w:t>
      </w:r>
      <w:r>
        <w:rPr>
          <w:rFonts w:ascii="Times New Roman" w:hAnsi="Times New Roman" w:cs="Times New Roman"/>
          <w:i/>
          <w:iCs/>
          <w:sz w:val="22"/>
          <w:szCs w:val="22"/>
        </w:rPr>
        <w:t>herem</w:t>
      </w:r>
      <w:r>
        <w:rPr>
          <w:rFonts w:ascii="Times New Roman" w:hAnsi="Times New Roman" w:cs="Times New Roman"/>
          <w:sz w:val="22"/>
          <w:szCs w:val="22"/>
        </w:rPr>
        <w:t xml:space="preserve"> passages in Joshua. For a concise summary of Younger’s findings and their implications for reading the conquest narratives, see Copan and Flannagan, </w:t>
      </w:r>
      <w:r>
        <w:rPr>
          <w:rFonts w:ascii="Times New Roman" w:hAnsi="Times New Roman" w:cs="Times New Roman"/>
          <w:i/>
          <w:iCs/>
          <w:sz w:val="22"/>
          <w:szCs w:val="22"/>
        </w:rPr>
        <w:t>Did God Really Command Genocide?</w:t>
      </w:r>
      <w:r>
        <w:rPr>
          <w:rFonts w:ascii="Times New Roman" w:hAnsi="Times New Roman" w:cs="Times New Roman"/>
          <w:sz w:val="22"/>
          <w:szCs w:val="22"/>
        </w:rPr>
        <w:t>, 93–109.</w:t>
      </w:r>
    </w:p>
    <w:p w14:paraId="06E93CB8" w14:textId="77777777" w:rsidR="00005F4F" w:rsidRPr="00850CC8" w:rsidRDefault="00005F4F" w:rsidP="00850CC8">
      <w:pPr>
        <w:spacing w:line="276" w:lineRule="auto"/>
        <w:rPr>
          <w:rFonts w:ascii="Times New Roman" w:hAnsi="Times New Roman" w:cs="Times New Roman"/>
          <w:sz w:val="22"/>
          <w:szCs w:val="22"/>
        </w:rPr>
      </w:pPr>
    </w:p>
    <w:p w14:paraId="3CCB2474" w14:textId="77777777" w:rsidR="00005F4F" w:rsidRPr="00850CC8" w:rsidRDefault="00005F4F" w:rsidP="00850CC8">
      <w:pPr>
        <w:spacing w:before="120" w:line="276" w:lineRule="auto"/>
        <w:ind w:firstLine="720"/>
        <w:jc w:val="both"/>
        <w:rPr>
          <w:rFonts w:ascii="Times New Roman" w:hAnsi="Times New Roman" w:cs="Times New Roman"/>
          <w:sz w:val="22"/>
          <w:szCs w:val="22"/>
        </w:rPr>
      </w:pPr>
      <w:r>
        <w:rPr>
          <w:rFonts w:ascii="Times New Roman" w:hAnsi="Times New Roman" w:cs="Times New Roman"/>
          <w:sz w:val="22"/>
          <w:szCs w:val="22"/>
        </w:rPr>
        <w:t xml:space="preserve">6. The covenantal specificity of the </w:t>
      </w:r>
      <w:r>
        <w:rPr>
          <w:rFonts w:ascii="Times New Roman" w:hAnsi="Times New Roman" w:cs="Times New Roman"/>
          <w:i/>
          <w:iCs/>
          <w:sz w:val="22"/>
          <w:szCs w:val="22"/>
        </w:rPr>
        <w:t>herem</w:t>
      </w:r>
      <w:r>
        <w:rPr>
          <w:rFonts w:ascii="Times New Roman" w:hAnsi="Times New Roman" w:cs="Times New Roman"/>
          <w:sz w:val="22"/>
          <w:szCs w:val="22"/>
        </w:rPr>
        <w:t xml:space="preserve"> command is developed with care in Christopher J. H. Wright, </w:t>
      </w:r>
      <w:r>
        <w:rPr>
          <w:rFonts w:ascii="Times New Roman" w:hAnsi="Times New Roman" w:cs="Times New Roman"/>
          <w:i/>
          <w:iCs/>
          <w:sz w:val="22"/>
          <w:szCs w:val="22"/>
        </w:rPr>
        <w:t>The God I Don’t Understand: Reflections on Tough Questions of Faith</w:t>
      </w:r>
      <w:r>
        <w:rPr>
          <w:rFonts w:ascii="Times New Roman" w:hAnsi="Times New Roman" w:cs="Times New Roman"/>
          <w:sz w:val="22"/>
          <w:szCs w:val="22"/>
        </w:rPr>
        <w:t xml:space="preserve"> (Grand Rapids: Zondervan, 2008), 83–108. Wright’s argument that the </w:t>
      </w:r>
      <w:r>
        <w:rPr>
          <w:rFonts w:ascii="Times New Roman" w:hAnsi="Times New Roman" w:cs="Times New Roman"/>
          <w:i/>
          <w:iCs/>
          <w:sz w:val="22"/>
          <w:szCs w:val="22"/>
        </w:rPr>
        <w:t>herem</w:t>
      </w:r>
      <w:r>
        <w:rPr>
          <w:rFonts w:ascii="Times New Roman" w:hAnsi="Times New Roman" w:cs="Times New Roman"/>
          <w:sz w:val="22"/>
          <w:szCs w:val="22"/>
        </w:rPr>
        <w:t xml:space="preserve"> command is a unique provision addressed to Israel at a unique moment in the history of redemption, rather than a universal moral rule applicable to any community that believes itself to be acting under divine instruction, is one of the most important contributions to the ethical discussion of these texts. His insistence that the command cannot be abstracted from its specific covenantal context without being fundamentally misread is consistent with the framework developed in the present book.</w:t>
      </w:r>
    </w:p>
    <w:p w14:paraId="5842462A" w14:textId="77777777" w:rsidR="00005F4F" w:rsidRPr="00850CC8" w:rsidRDefault="00005F4F" w:rsidP="00850CC8">
      <w:pPr>
        <w:spacing w:line="276" w:lineRule="auto"/>
        <w:rPr>
          <w:rFonts w:ascii="Times New Roman" w:hAnsi="Times New Roman" w:cs="Times New Roman"/>
          <w:sz w:val="22"/>
          <w:szCs w:val="22"/>
        </w:rPr>
      </w:pPr>
    </w:p>
    <w:p w14:paraId="018A92CD" w14:textId="77777777" w:rsidR="00005F4F" w:rsidRPr="00850CC8" w:rsidRDefault="00005F4F" w:rsidP="00850CC8">
      <w:pPr>
        <w:spacing w:before="120" w:line="276" w:lineRule="auto"/>
        <w:ind w:firstLine="720"/>
        <w:jc w:val="both"/>
        <w:rPr>
          <w:rFonts w:ascii="Times New Roman" w:hAnsi="Times New Roman" w:cs="Times New Roman"/>
          <w:sz w:val="22"/>
          <w:szCs w:val="22"/>
        </w:rPr>
      </w:pPr>
      <w:r>
        <w:rPr>
          <w:rFonts w:ascii="Times New Roman" w:hAnsi="Times New Roman" w:cs="Times New Roman"/>
          <w:sz w:val="22"/>
          <w:szCs w:val="22"/>
        </w:rPr>
        <w:t xml:space="preserve">7. The theological significance of Jonah’s complaint in Jonah 4:2 as a precise description of the divine character is developed in R. W. L. Moberly, </w:t>
      </w:r>
      <w:r>
        <w:rPr>
          <w:rFonts w:ascii="Times New Roman" w:hAnsi="Times New Roman" w:cs="Times New Roman"/>
          <w:i/>
          <w:iCs/>
          <w:sz w:val="22"/>
          <w:szCs w:val="22"/>
        </w:rPr>
        <w:t>Old Testament Theology: Reading the Hebrew Bible as Christian Scripture</w:t>
      </w:r>
      <w:r>
        <w:rPr>
          <w:rFonts w:ascii="Times New Roman" w:hAnsi="Times New Roman" w:cs="Times New Roman"/>
          <w:sz w:val="22"/>
          <w:szCs w:val="22"/>
        </w:rPr>
        <w:t xml:space="preserve"> (Grand Rapids: Baker Academic, 2013), 183–195. Moberly argues that the book of Jonah is not primarily a story about a reluctant prophet but a theological argument about the consistency of the divine character: the God who threatens Nineveh with destruction and then relents when Nineveh repents is displaying the same character that he displayed in the Exodus 34:6–7 formula, and Jonah’s complaint is, ironically, the most theologically articulate statement in the book precisely because it names that character accurately.</w:t>
      </w:r>
    </w:p>
    <w:p w14:paraId="3C2E7846" w14:textId="77777777" w:rsidR="00005F4F" w:rsidRPr="00850CC8" w:rsidRDefault="00005F4F" w:rsidP="00850CC8">
      <w:pPr>
        <w:spacing w:line="276" w:lineRule="auto"/>
        <w:rPr>
          <w:rFonts w:ascii="Times New Roman" w:hAnsi="Times New Roman" w:cs="Times New Roman"/>
          <w:sz w:val="22"/>
          <w:szCs w:val="22"/>
        </w:rPr>
      </w:pPr>
    </w:p>
    <w:p w14:paraId="5DC8D8F1" w14:textId="77777777" w:rsidR="00005F4F" w:rsidRPr="00850CC8" w:rsidRDefault="00005F4F" w:rsidP="00850CC8">
      <w:pPr>
        <w:spacing w:before="120" w:line="276" w:lineRule="auto"/>
        <w:ind w:firstLine="720"/>
        <w:jc w:val="both"/>
        <w:rPr>
          <w:rFonts w:ascii="Times New Roman" w:hAnsi="Times New Roman" w:cs="Times New Roman"/>
          <w:sz w:val="22"/>
          <w:szCs w:val="22"/>
        </w:rPr>
      </w:pPr>
      <w:r>
        <w:rPr>
          <w:rFonts w:ascii="Times New Roman" w:hAnsi="Times New Roman" w:cs="Times New Roman"/>
          <w:sz w:val="22"/>
          <w:szCs w:val="22"/>
        </w:rPr>
        <w:t xml:space="preserve">8. Michael S. Heiser, </w:t>
      </w:r>
      <w:r>
        <w:rPr>
          <w:rFonts w:ascii="Times New Roman" w:hAnsi="Times New Roman" w:cs="Times New Roman"/>
          <w:i/>
          <w:iCs/>
          <w:sz w:val="22"/>
          <w:szCs w:val="22"/>
        </w:rPr>
        <w:t>The Unseen Realm: Recovering the Supernatural Worldview of the Bible</w:t>
      </w:r>
      <w:r>
        <w:rPr>
          <w:rFonts w:ascii="Times New Roman" w:hAnsi="Times New Roman" w:cs="Times New Roman"/>
          <w:sz w:val="22"/>
          <w:szCs w:val="22"/>
        </w:rPr>
        <w:t xml:space="preserve"> (Bellingham: Lexham Press, 2015), 108–120. Heiser’s analysis of the Deuteronomy 32 worldview and its implications for reading the conquest narratives is developed in chapters 14–16. The textual basis for the </w:t>
        <w:lastRenderedPageBreak/>
        <w:t xml:space="preserve">reading that assigns the nations to the sons of God rather than to the sons of Israel is the Dead Sea Scrolls version of Deuteronomy 32:8, which is followed by the Septuagint and is increasingly accepted as reflecting the more original reading. For the implications of this reading for the theology of the conquest, see also Heiser, </w:t>
      </w:r>
      <w:r>
        <w:rPr>
          <w:rFonts w:ascii="Times New Roman" w:hAnsi="Times New Roman" w:cs="Times New Roman"/>
          <w:i/>
          <w:iCs/>
          <w:sz w:val="22"/>
          <w:szCs w:val="22"/>
        </w:rPr>
        <w:t>Supernatural: What the Bible Teaches about the Unseen World and Why It Matters</w:t>
      </w:r>
      <w:r>
        <w:rPr>
          <w:rFonts w:ascii="Times New Roman" w:hAnsi="Times New Roman" w:cs="Times New Roman"/>
          <w:sz w:val="22"/>
          <w:szCs w:val="22"/>
        </w:rPr>
        <w:t xml:space="preserve"> (Bellingham: Lexham Press, 2015), 65–82.</w:t>
      </w:r>
    </w:p>
    <w:p w14:paraId="7D376DBD" w14:textId="77777777" w:rsidR="00005F4F" w:rsidRPr="00850CC8" w:rsidRDefault="00005F4F" w:rsidP="00850CC8">
      <w:pPr>
        <w:spacing w:line="276" w:lineRule="auto"/>
        <w:rPr>
          <w:rFonts w:ascii="Times New Roman" w:hAnsi="Times New Roman" w:cs="Times New Roman"/>
          <w:sz w:val="22"/>
          <w:szCs w:val="22"/>
        </w:rPr>
      </w:pPr>
    </w:p>
    <w:p w14:paraId="5279E3D8" w14:textId="77777777" w:rsidR="00005F4F" w:rsidRPr="00850CC8" w:rsidRDefault="00005F4F" w:rsidP="00850CC8">
      <w:pPr>
        <w:spacing w:before="120" w:line="276" w:lineRule="auto"/>
        <w:ind w:firstLine="720"/>
        <w:jc w:val="both"/>
        <w:rPr>
          <w:rFonts w:ascii="Times New Roman" w:hAnsi="Times New Roman" w:cs="Times New Roman"/>
          <w:sz w:val="22"/>
          <w:szCs w:val="22"/>
        </w:rPr>
      </w:pPr>
      <w:r>
        <w:rPr>
          <w:rFonts w:ascii="Times New Roman" w:hAnsi="Times New Roman" w:cs="Times New Roman"/>
          <w:sz w:val="22"/>
          <w:szCs w:val="22"/>
        </w:rPr>
        <w:t xml:space="preserve">9. The concept of holy war in the Hebrew Bible has been extensively studied, with considerable disagreement about its theological content and its relationship to actual Israelite military practice. The most careful recent treatment is Sa-Moon Kang, </w:t>
      </w:r>
      <w:r>
        <w:rPr>
          <w:rFonts w:ascii="Times New Roman" w:hAnsi="Times New Roman" w:cs="Times New Roman"/>
          <w:i/>
          <w:iCs/>
          <w:sz w:val="22"/>
          <w:szCs w:val="22"/>
        </w:rPr>
        <w:t>Divine War in the Old Testament and in the Ancient Near East</w:t>
      </w:r>
      <w:r>
        <w:rPr>
          <w:rFonts w:ascii="Times New Roman" w:hAnsi="Times New Roman" w:cs="Times New Roman"/>
          <w:sz w:val="22"/>
          <w:szCs w:val="22"/>
        </w:rPr>
        <w:t xml:space="preserve"> (Berlin: de Gruyter, 1989), which situates Israelite holy war within its ancient Near Eastern comparative context while attending to the distinctive theological emphases of the biblical texts. For the connection between holy war and the divine council tradition, see Patrick D. Miller, </w:t>
      </w:r>
      <w:r>
        <w:rPr>
          <w:rFonts w:ascii="Times New Roman" w:hAnsi="Times New Roman" w:cs="Times New Roman"/>
          <w:i/>
          <w:iCs/>
          <w:sz w:val="22"/>
          <w:szCs w:val="22"/>
        </w:rPr>
        <w:t>The Divine Warrior in Early Israel</w:t>
      </w:r>
      <w:r>
        <w:rPr>
          <w:rFonts w:ascii="Times New Roman" w:hAnsi="Times New Roman" w:cs="Times New Roman"/>
          <w:sz w:val="22"/>
          <w:szCs w:val="22"/>
        </w:rPr>
        <w:t xml:space="preserve"> (Cambridge: Harvard University Press, 1973), 156–175, which argues that the portrayal of the LORD as warrior in the early poetry of the Hebrew Bible is consistently embedded in the context of the divine council, with the conquest of Canaan representing not merely a geopolitical event but a cosmic reassertion of divine order over the forces of chaos and corruption.</w:t>
      </w:r>
    </w:p>
    <w:p w14:paraId="2926BCCC" w14:textId="77777777" w:rsidR="00005F4F" w:rsidRPr="00850CC8" w:rsidRDefault="00005F4F" w:rsidP="00850CC8">
      <w:pPr>
        <w:spacing w:line="276" w:lineRule="auto"/>
        <w:rPr>
          <w:rFonts w:ascii="Times New Roman" w:hAnsi="Times New Roman" w:cs="Times New Roman"/>
          <w:sz w:val="22"/>
          <w:szCs w:val="22"/>
        </w:rPr>
      </w:pPr>
    </w:p>
    <w:p w14:paraId="4E25A418" w14:textId="77777777" w:rsidR="00005F4F" w:rsidRPr="00850CC8" w:rsidRDefault="00005F4F" w:rsidP="00850CC8">
      <w:pPr>
        <w:spacing w:before="120" w:line="276" w:lineRule="auto"/>
        <w:ind w:firstLine="720"/>
        <w:jc w:val="both"/>
        <w:rPr>
          <w:rFonts w:ascii="Times New Roman" w:hAnsi="Times New Roman" w:cs="Times New Roman"/>
          <w:sz w:val="22"/>
          <w:szCs w:val="22"/>
        </w:rPr>
      </w:pPr>
      <w:r>
        <w:rPr>
          <w:rFonts w:ascii="Times New Roman" w:hAnsi="Times New Roman" w:cs="Times New Roman"/>
          <w:sz w:val="22"/>
          <w:szCs w:val="22"/>
        </w:rPr>
        <w:t xml:space="preserve">10. Oliver O’Donovan, </w:t>
      </w:r>
      <w:r>
        <w:rPr>
          <w:rFonts w:ascii="Times New Roman" w:hAnsi="Times New Roman" w:cs="Times New Roman"/>
          <w:i/>
          <w:iCs/>
          <w:sz w:val="22"/>
          <w:szCs w:val="22"/>
        </w:rPr>
        <w:t>Resurrection and Moral Order: An Outline for Evangelical Ethics</w:t>
      </w:r>
      <w:r>
        <w:rPr>
          <w:rFonts w:ascii="Times New Roman" w:hAnsi="Times New Roman" w:cs="Times New Roman"/>
          <w:sz w:val="22"/>
          <w:szCs w:val="22"/>
        </w:rPr>
        <w:t>, 2nd ed. (Grand Rapids: Eerdmans, 1994), 14–16. O’Donovan’s argument that the resurrection is the eschatological confirmation of the order of creation, rather than a new creation that supersedes the old, has direct implications for how the judgments of the Old Testament are to be read in retrospect. They are not pre-Christian mistakes corrected by a more merciful dispensation; they are expressions of the moral order that the resurrection confirms, whose full meaning is disclosed only when the one who bore the cost of that moral order’s maintenance is raised from the dead.</w:t>
      </w:r>
    </w:p>
    <w:p w14:paraId="1514F939" w14:textId="77777777" w:rsidR="00005F4F" w:rsidRPr="00850CC8" w:rsidRDefault="00005F4F" w:rsidP="00850CC8">
      <w:pPr>
        <w:spacing w:line="276" w:lineRule="auto"/>
        <w:rPr>
          <w:rFonts w:ascii="Times New Roman" w:hAnsi="Times New Roman" w:cs="Times New Roman"/>
          <w:sz w:val="22"/>
          <w:szCs w:val="22"/>
        </w:rPr>
      </w:pPr>
    </w:p>
    <w:p w14:paraId="60A9C4A4" w14:textId="77777777" w:rsidR="00005F4F" w:rsidRPr="00850CC8" w:rsidRDefault="00005F4F" w:rsidP="00850CC8">
      <w:pPr>
        <w:spacing w:before="120" w:line="276" w:lineRule="auto"/>
        <w:ind w:firstLine="720"/>
        <w:jc w:val="both"/>
        <w:rPr>
          <w:rFonts w:ascii="Times New Roman" w:hAnsi="Times New Roman" w:cs="Times New Roman"/>
          <w:sz w:val="22"/>
          <w:szCs w:val="22"/>
        </w:rPr>
      </w:pPr>
      <w:r>
        <w:rPr>
          <w:rFonts w:ascii="Times New Roman" w:hAnsi="Times New Roman" w:cs="Times New Roman"/>
          <w:sz w:val="22"/>
          <w:szCs w:val="22"/>
        </w:rPr>
        <w:t xml:space="preserve">11. Terence E. Fretheim, </w:t>
      </w:r>
      <w:r>
        <w:rPr>
          <w:rFonts w:ascii="Times New Roman" w:hAnsi="Times New Roman" w:cs="Times New Roman"/>
          <w:i/>
          <w:iCs/>
          <w:sz w:val="22"/>
          <w:szCs w:val="22"/>
        </w:rPr>
        <w:t>God and World in the Old Testament: A Relational Theology of Creation</w:t>
      </w:r>
      <w:r>
        <w:rPr>
          <w:rFonts w:ascii="Times New Roman" w:hAnsi="Times New Roman" w:cs="Times New Roman"/>
          <w:sz w:val="22"/>
          <w:szCs w:val="22"/>
        </w:rPr>
        <w:t xml:space="preserve"> (Nashville: Abingdon, 2005), 227–232. Fretheim’s argument that the biblical text contains within itself the resources for questioning the divine violence it describes, and that Abraham’s challenge in Genesis 18:25 is paradigmatic for the kind of engaged, questioning faith the texts invite, is an important counterweight to interpretive approaches that treat the difficult texts as closed questions. For a complementary argument that the lament tradition of the Psalms functions similarly, as the biblical authorization of honest challenge to divine action, see Walter Brueggemann, </w:t>
      </w:r>
      <w:r>
        <w:rPr>
          <w:rFonts w:ascii="Times New Roman" w:hAnsi="Times New Roman" w:cs="Times New Roman"/>
          <w:i/>
          <w:iCs/>
          <w:sz w:val="22"/>
          <w:szCs w:val="22"/>
        </w:rPr>
        <w:t>The Message of the Psalms: A Theological Commentary</w:t>
      </w:r>
      <w:r>
        <w:rPr>
          <w:rFonts w:ascii="Times New Roman" w:hAnsi="Times New Roman" w:cs="Times New Roman"/>
          <w:sz w:val="22"/>
          <w:szCs w:val="22"/>
        </w:rPr>
        <w:t xml:space="preserve"> (Minneapolis: Augsburg, 1984), 51–66.</w:t>
      </w:r>
    </w:p>
    <w:p w14:paraId="22EE3529" w14:textId="0F0D79B9" w:rsidR="00CA4B28" w:rsidRPr="00850CC8" w:rsidRDefault="00CA4B28" w:rsidP="00850CC8">
      <w:pPr>
        <w:spacing w:line="276" w:lineRule="auto"/>
        <w:rPr>
          <w:rFonts w:ascii="Times New Roman" w:hAnsi="Times New Roman" w:cs="Times New Roman"/>
          <w:sz w:val="22"/>
          <w:szCs w:val="22"/>
        </w:rPr>
      </w:pPr>
      <w:r>
        <w:rPr>
          <w:rFonts w:ascii="Times New Roman" w:hAnsi="Times New Roman" w:cs="Times New Roman"/>
          <w:sz w:val="22"/>
          <w:szCs w:val="22"/>
        </w:rPr>
        <w:br w:type="page"/>
      </w:r>
    </w:p>
    <w:p w14:paraId="154B0245" w14:textId="77777777" w:rsidR="00CA4B28" w:rsidRPr="00850CC8" w:rsidRDefault="00CA4B28" w:rsidP="00850CC8">
      <w:pPr>
        <w:pStyle w:val="Heading1"/>
        <w:spacing w:after="120" w:line="276" w:lineRule="auto"/>
        <w:jc w:val="center"/>
        <w:rPr>
          <w:rFonts w:ascii="Times New Roman" w:hAnsi="Times New Roman" w:cs="Times New Roman"/>
          <w:sz w:val="22"/>
          <w:szCs w:val="22"/>
        </w:rPr>
      </w:pPr>
      <w:bookmarkStart w:id="11" w:name="_Toc228335817"/>
      <w:r>
        <w:rPr>
          <w:rFonts w:ascii="Times New Roman" w:hAnsi="Times New Roman" w:cs="Times New Roman"/>
          <w:sz w:val="22"/>
          <w:szCs w:val="22"/>
        </w:rPr>
        <w:lastRenderedPageBreak/>
        <w:t>Chapter Eight</w:t>
      </w:r>
      <w:bookmarkEnd w:id="11"/>
    </w:p>
    <w:p w14:paraId="79A2C4B0" w14:textId="77777777" w:rsidR="00CA4B28" w:rsidRPr="00850CC8" w:rsidRDefault="00CA4B28" w:rsidP="00850CC8">
      <w:pPr>
        <w:pStyle w:val="Heading1"/>
        <w:spacing w:after="320" w:line="276" w:lineRule="auto"/>
        <w:rPr>
          <w:rFonts w:ascii="Times New Roman" w:hAnsi="Times New Roman" w:cs="Times New Roman"/>
          <w:sz w:val="22"/>
          <w:szCs w:val="22"/>
        </w:rPr>
      </w:pPr>
      <w:bookmarkStart w:id="12" w:name="_Toc228335818"/>
      <w:r>
        <w:rPr>
          <w:rFonts w:ascii="Times New Roman" w:hAnsi="Times New Roman" w:cs="Times New Roman"/>
          <w:sz w:val="22"/>
          <w:szCs w:val="22"/>
        </w:rPr>
        <w:t xml:space="preserve">The Hardest Cases: Conquest, </w:t>
      </w:r>
      <w:r>
        <w:rPr>
          <w:rFonts w:ascii="Times New Roman" w:hAnsi="Times New Roman" w:cs="Times New Roman"/>
          <w:i/>
          <w:iCs/>
          <w:sz w:val="22"/>
          <w:szCs w:val="22"/>
        </w:rPr>
        <w:t>Herem</w:t>
      </w:r>
      <w:r>
        <w:rPr>
          <w:rFonts w:ascii="Times New Roman" w:hAnsi="Times New Roman" w:cs="Times New Roman"/>
          <w:sz w:val="22"/>
          <w:szCs w:val="22"/>
        </w:rPr>
        <w:t>, and Divine Violence</w:t>
      </w:r>
      <w:bookmarkEnd w:id="12"/>
    </w:p>
    <w:p w14:paraId="746099E8" w14:textId="77777777" w:rsidR="00CA4B28" w:rsidRPr="00850CC8" w:rsidRDefault="00CA4B28"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The argument developed in the preceding chapters has moved from the inner life of the triune God outward into the moral life of creatures made to bear that God’s image. We have seen that the perichoretic self-giving of Father, Son, and Holy Spirit is not a speculative addition to a simpler theology but the living source from which the shape of the moral life flows, and that the four qualities that characterize actual moral obligation, its relational, reflective, situational, and personal character, are reflections of that Trinitarian structure rather than accommodations to human limitation. We have seen how the prior love of 1 John 4:19 establishes that our morality takes a responsive, responsible form: ethics is not primarily about what we must do but about who we are in light of who God is and what God has done.</w:t>
      </w:r>
    </w:p>
    <w:p w14:paraId="38FD50CB" w14:textId="77777777" w:rsidR="00CA4B28" w:rsidRPr="00850CC8" w:rsidRDefault="00CA4B28"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Now that framework faces its hardest test.</w:t>
      </w:r>
    </w:p>
    <w:p w14:paraId="69114ACB" w14:textId="77777777" w:rsidR="00CA4B28" w:rsidRPr="00850CC8" w:rsidRDefault="00CA4B28"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 xml:space="preserve">There are texts in the Old Testament that have driven thoughtful believers to doubt, provided critics of biblical faith with their most persistent ammunition, and produced what might be called a functional Marcionism in many contemporary churches, where Jesus is quietly substituted for the God of the Hebrew Scriptures rather than understood as that God’s definitive self-revelation. The conquest narratives, the </w:t>
      </w:r>
      <w:r>
        <w:rPr>
          <w:rFonts w:ascii="Times New Roman" w:hAnsi="Times New Roman" w:cs="Times New Roman"/>
          <w:i/>
          <w:iCs/>
          <w:sz w:val="22"/>
          <w:szCs w:val="22"/>
        </w:rPr>
        <w:t>herem</w:t>
      </w:r>
      <w:r>
        <w:rPr>
          <w:rFonts w:ascii="Times New Roman" w:hAnsi="Times New Roman" w:cs="Times New Roman"/>
          <w:sz w:val="22"/>
          <w:szCs w:val="22"/>
        </w:rPr>
        <w:t xml:space="preserve"> warfare commands, the apparent divine sanction for the destruction of entire populations: these are not peripheral difficulties that a sufficiently clever hermeneutic can dissolve. They are the place where the relational framework either earns its credibility or fails.</w:t>
      </w:r>
      <w:r>
        <w:rPr>
          <w:rFonts w:ascii="Times New Roman" w:hAnsi="Times New Roman" w:cs="Times New Roman"/>
          <w:sz w:val="22"/>
          <w:szCs w:val="22"/>
          <w:vertAlign w:val="superscript"/>
        </w:rPr>
        <w:t>1</w:t>
      </w:r>
    </w:p>
    <w:p w14:paraId="576F3FC9" w14:textId="77777777" w:rsidR="00CA4B28" w:rsidRPr="00850CC8" w:rsidRDefault="00CA4B28"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This chapter will not pretend the difficulty is smaller than it is. The death of children in warfare is tragic under any description. The execution of divine judgment through human military agency troubles the moral imagination even when it can be defended. These texts should cost the reader something to work through, because they cost something to interpret honestly. What the relational framework offers is not comfort but coherence: not an explanation that dissolves the tension but a reading that holds together what otherwise falls apart, a God whose patient mercy and whose real justice are seen to operate consistently within the same relational logic that the prior chapters have been developing.</w:t>
      </w:r>
    </w:p>
    <w:p w14:paraId="61EEED64" w14:textId="77777777" w:rsidR="00CA4B28" w:rsidRPr="00850CC8" w:rsidRDefault="00CA4B28"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 xml:space="preserve">We will examine the conquest narratives, the nature of </w:t>
      </w:r>
      <w:r>
        <w:rPr>
          <w:rFonts w:ascii="Times New Roman" w:hAnsi="Times New Roman" w:cs="Times New Roman"/>
          <w:i/>
          <w:iCs/>
          <w:sz w:val="22"/>
          <w:szCs w:val="22"/>
        </w:rPr>
        <w:t>herem</w:t>
      </w:r>
      <w:r>
        <w:rPr>
          <w:rFonts w:ascii="Times New Roman" w:hAnsi="Times New Roman" w:cs="Times New Roman"/>
          <w:sz w:val="22"/>
          <w:szCs w:val="22"/>
        </w:rPr>
        <w:t xml:space="preserve"> warfare, the question of innocent casualties, and the relationship between these ancient texts and contemporary ethics. Throughout, we will apply the same relational logic developed in the preceding chapters, showing that even in the hardest cases, God’s actions remain consistent with his character when read within their full relational and historical context.</w:t>
      </w:r>
    </w:p>
    <w:p w14:paraId="2615FA55" w14:textId="77777777" w:rsidR="00CA4B28" w:rsidRPr="00850CC8" w:rsidRDefault="00CA4B28" w:rsidP="00850CC8">
      <w:pPr>
        <w:pStyle w:val="Heading2"/>
        <w:spacing w:line="276" w:lineRule="auto"/>
        <w:rPr>
          <w:rFonts w:ascii="Times New Roman" w:hAnsi="Times New Roman" w:cs="Times New Roman"/>
          <w:sz w:val="22"/>
          <w:szCs w:val="22"/>
        </w:rPr>
      </w:pPr>
      <w:bookmarkStart w:id="13" w:name="_Toc228335819"/>
      <w:r>
        <w:rPr>
          <w:rFonts w:ascii="Times New Roman" w:hAnsi="Times New Roman" w:cs="Times New Roman"/>
          <w:sz w:val="22"/>
          <w:szCs w:val="22"/>
        </w:rPr>
        <w:t>The Nature of the Problem</w:t>
      </w:r>
      <w:bookmarkEnd w:id="13"/>
    </w:p>
    <w:p w14:paraId="34316306" w14:textId="77777777" w:rsidR="00CA4B28" w:rsidRPr="00850CC8" w:rsidRDefault="00CA4B28"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Before we can address the conquest narratives, we must honestly acknowledge why they trouble us. The problem is not merely that modern sensibilities recoil from ancient warfare, though they do. The deeper problem is that these texts seem to pit biblical revelation against itself. The same God who declares “you shall not murder” commands the destruction of Canaanite populations. The same Scripture that proclaims God’s love for all peoples describes his authorization of warfare that makes no distinction between combatants and non-combatants. The prophet who announces God’s mercy also records his judgment without apparent mercy.</w:t>
      </w:r>
    </w:p>
    <w:p w14:paraId="65B0B658" w14:textId="77777777" w:rsidR="00CA4B28" w:rsidRPr="00850CC8" w:rsidRDefault="00CA4B28"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lastRenderedPageBreak/>
        <w:t>Critics like Richard Dawkins have seized on these texts as evidence of the Bible’s moral bankruptcy, describing the God of the Old Testament as a figure whose character is defined by vindictiveness, bloodthirstiness, and ethnic cleansing.</w:t>
      </w:r>
      <w:r>
        <w:rPr>
          <w:rFonts w:ascii="Times New Roman" w:hAnsi="Times New Roman" w:cs="Times New Roman"/>
          <w:sz w:val="22"/>
          <w:szCs w:val="22"/>
          <w:vertAlign w:val="superscript"/>
        </w:rPr>
        <w:t>2</w:t>
      </w:r>
      <w:r>
        <w:rPr>
          <w:rFonts w:ascii="Times New Roman" w:hAnsi="Times New Roman" w:cs="Times New Roman"/>
          <w:sz w:val="22"/>
          <w:szCs w:val="22"/>
        </w:rPr>
        <w:t xml:space="preserve"> While that characterization ignores the broader biblical witness and misreads many texts, it captures the shock many readers feel when encountering passages like Deuteronomy 20:16-17: “However, in the cities of the nations the LORD your God is giving you as an inheritance, do not leave alive anything that breathes. Completely destroy them, the Hittites, Amorites, Canaanites, Perizzites, Hivites and Jebusites, as the LORD your God has commanded you.”</w:t>
      </w:r>
    </w:p>
    <w:p w14:paraId="47502DA7" w14:textId="77777777" w:rsidR="00CA4B28" w:rsidRPr="00850CC8" w:rsidRDefault="00CA4B28"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The problem intensifies when we consider that these commands included children. Whatever justification might be offered for punishing adults who practiced child sacrifice or ritual prostitution, how can we justify including children in that punishment? The question echoes Abraham’s challenge to God before Sodom’s destruction: “Will not the Judge of all the earth do right?” (Genesis 18:25). If that question was appropriate then, it remains appropriate now.</w:t>
      </w:r>
    </w:p>
    <w:p w14:paraId="69F437C8" w14:textId="77777777" w:rsidR="00CA4B28" w:rsidRPr="00850CC8" w:rsidRDefault="00CA4B28"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We must also acknowledge the historical reality of religious violence. These texts have been misused to justify crusades, colonial conquest, and ethnic cleansing. While misuse does not determine meaning, it requires us to interpret these passages with particular care and to address forthrightly whether the Bible endorses the kind of violence undertaken in its name.</w:t>
      </w:r>
    </w:p>
    <w:p w14:paraId="590CE4DF" w14:textId="77777777" w:rsidR="00CA4B28" w:rsidRPr="00850CC8" w:rsidRDefault="00CA4B28"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The relational framework does not eliminate these difficulties. But it does provide tools for understanding them within the larger biblical narrative of God’s character and purposes.</w:t>
      </w:r>
    </w:p>
    <w:p w14:paraId="5EB52A75" w14:textId="77777777" w:rsidR="00CA4B28" w:rsidRPr="00850CC8" w:rsidRDefault="00CA4B28" w:rsidP="00850CC8">
      <w:pPr>
        <w:pStyle w:val="Heading2"/>
        <w:spacing w:line="276" w:lineRule="auto"/>
        <w:rPr>
          <w:rFonts w:ascii="Times New Roman" w:hAnsi="Times New Roman" w:cs="Times New Roman"/>
          <w:sz w:val="22"/>
          <w:szCs w:val="22"/>
        </w:rPr>
      </w:pPr>
      <w:bookmarkStart w:id="14" w:name="_Toc228335820"/>
      <w:r>
        <w:rPr>
          <w:rFonts w:ascii="Times New Roman" w:hAnsi="Times New Roman" w:cs="Times New Roman"/>
          <w:sz w:val="22"/>
          <w:szCs w:val="22"/>
        </w:rPr>
        <w:t>Grounding Principles</w:t>
      </w:r>
      <w:bookmarkEnd w:id="14"/>
    </w:p>
    <w:p w14:paraId="672AB679" w14:textId="77777777" w:rsidR="00CA4B28" w:rsidRPr="00850CC8" w:rsidRDefault="00CA4B28"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Before examining specific conquest texts, we must establish what non-negotiable truths must be preserved in any adequate interpretation. These principles emerge from the broader biblical witness and from the theological foundation laid in the preceding chapters.</w:t>
      </w:r>
    </w:p>
    <w:p w14:paraId="6CA73657" w14:textId="77777777" w:rsidR="00CA4B28" w:rsidRPr="00850CC8" w:rsidRDefault="00CA4B28"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First, God’s essential character does not change. Whatever we conclude about the conquest, it cannot contradict God’s self-revelation as just, merciful, patient, and loving. The God who commands Israel regarding Canaan is the same God who later condemns Israel for the same kinds of sins, the same God who shows mercy to Nineveh, the same God who incarnates as Jesus Christ. Any interpretation that makes God’s character contradictory or arbitrary fails at the foundational level.</w:t>
      </w:r>
    </w:p>
    <w:p w14:paraId="65DCA782" w14:textId="77777777" w:rsidR="00CA4B28" w:rsidRPr="00850CC8" w:rsidRDefault="00CA4B28"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 xml:space="preserve">Second, human life has inherent value. All people are made in God’s image, regardless of their moral state or cultural practices. This includes the Canaanites. Whatever God’s judgment of Canaan involved, it cannot simply dismiss the </w:t>
      </w:r>
      <w:r>
        <w:rPr>
          <w:rFonts w:ascii="Times New Roman" w:hAnsi="Times New Roman" w:cs="Times New Roman"/>
          <w:i/>
          <w:iCs/>
          <w:sz w:val="22"/>
          <w:szCs w:val="22"/>
        </w:rPr>
        <w:t>imago Dei</w:t>
      </w:r>
      <w:r>
        <w:rPr>
          <w:rFonts w:ascii="Times New Roman" w:hAnsi="Times New Roman" w:cs="Times New Roman"/>
          <w:sz w:val="22"/>
          <w:szCs w:val="22"/>
        </w:rPr>
        <w:t xml:space="preserve"> in Canaanite people. The value of human life is grounded in creation itself and is not dependent on ethnic identity or religious practice.</w:t>
      </w:r>
    </w:p>
    <w:p w14:paraId="5D130276" w14:textId="77777777" w:rsidR="00CA4B28" w:rsidRPr="00850CC8" w:rsidRDefault="00CA4B28"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 xml:space="preserve">Third, moral standards are not arbitrary. God does not operate by might-makes-right. His commands must be coherent with objective moral truth. This does not mean we always understand his reasons, but it does mean his actions must be defensible as truly just and good, not merely powerful. The Euthyphro dilemma is resolved, as we have seen, by recognizing that God’s commands express his nature, which </w:t>
      </w:r>
      <w:r>
        <w:rPr>
          <w:rFonts w:ascii="Times New Roman" w:hAnsi="Times New Roman" w:cs="Times New Roman"/>
          <w:i/>
          <w:iCs/>
          <w:sz w:val="22"/>
          <w:szCs w:val="22"/>
        </w:rPr>
        <w:t>is</w:t>
      </w:r>
      <w:r>
        <w:rPr>
          <w:rFonts w:ascii="Times New Roman" w:hAnsi="Times New Roman" w:cs="Times New Roman"/>
          <w:sz w:val="22"/>
          <w:szCs w:val="22"/>
        </w:rPr>
        <w:t xml:space="preserve"> goodness itself. But this means his commands must actually be good, not merely defined as good.</w:t>
      </w:r>
    </w:p>
    <w:p w14:paraId="3D5259B6" w14:textId="77777777" w:rsidR="00CA4B28" w:rsidRPr="00850CC8" w:rsidRDefault="00CA4B28"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 xml:space="preserve">Fourth, relationship creates real moral difference. This is the foundation of the entire framework. God can, and does, treat people differently based on their relationship to him without this constituting </w:t>
        <w:lastRenderedPageBreak/>
        <w:t>favoritism or injustice. A parent has different obligations to their children than to strangers; a nation has different obligations to its citizens than to others. These differences are not merely conventional but reflect real moral facts about the nature of relationship.</w:t>
      </w:r>
    </w:p>
    <w:p w14:paraId="1B4863BA" w14:textId="77777777" w:rsidR="00CA4B28" w:rsidRPr="00850CC8" w:rsidRDefault="00CA4B28"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Fifth, divine judgment is real and sometimes severe. The modern tendency to collapse all divine action into non-judgmental acceptance cannot be sustained biblically or philosophically. If God is just, he must respond to evil. If moral order is real, violations of that order must have consequences. The question is not whether God judges, but when, how, and on what basis he does so.</w:t>
      </w:r>
    </w:p>
    <w:p w14:paraId="43268A6C" w14:textId="77777777" w:rsidR="00CA4B28" w:rsidRPr="00850CC8" w:rsidRDefault="00CA4B28"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Sixth, Scripture requires careful reading. We cannot simply quote conquest passages as if their surface meaning exhausts their significance. Ancient Near Eastern warfare rhetoric, Hebrew narrative conventions, the theological purposing of history: all must be considered. This is not evasion but responsible hermeneutics. However, careful reading cannot render the text meaningless or deny that real historical events lie behind these accounts, even if those events are more complex than a simple literalistic reading suggests.</w:t>
      </w:r>
    </w:p>
    <w:p w14:paraId="38991F63" w14:textId="77777777" w:rsidR="00CA4B28" w:rsidRPr="00850CC8" w:rsidRDefault="00CA4B28" w:rsidP="00850CC8">
      <w:pPr>
        <w:pStyle w:val="Heading2"/>
        <w:spacing w:line="276" w:lineRule="auto"/>
        <w:rPr>
          <w:rFonts w:ascii="Times New Roman" w:hAnsi="Times New Roman" w:cs="Times New Roman"/>
          <w:sz w:val="22"/>
          <w:szCs w:val="22"/>
        </w:rPr>
      </w:pPr>
      <w:bookmarkStart w:id="15" w:name="_Toc228335821"/>
      <w:r>
        <w:rPr>
          <w:rFonts w:ascii="Times New Roman" w:hAnsi="Times New Roman" w:cs="Times New Roman"/>
          <w:sz w:val="22"/>
          <w:szCs w:val="22"/>
        </w:rPr>
        <w:t>The Conquest as Relational Judgment</w:t>
      </w:r>
      <w:bookmarkEnd w:id="15"/>
    </w:p>
    <w:p w14:paraId="6555DDBF" w14:textId="77777777" w:rsidR="00CA4B28" w:rsidRPr="00850CC8" w:rsidRDefault="00CA4B28"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The relational framework interprets the conquest primarily as an act of divine judgment on Canaan, executed through human agency. This immediately distinguishes it from ordinary human warfare. When nations go to war for territorial expansion, resources, or power, they may claim divine sanction, but the claim is typically self-serving rationalization. The conquest narratives present something different: God’s explicit command to Israel to execute his judgment on peoples whose practices had exceeded the bounds of his patient endurance.</w:t>
      </w:r>
    </w:p>
    <w:p w14:paraId="2A28DEDA" w14:textId="77777777" w:rsidR="00CA4B28" w:rsidRPr="00850CC8" w:rsidRDefault="00CA4B28"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 xml:space="preserve">The text explicitly grounds this judgment in moral cause. Genesis 15:16 reveals God’s plan to Abraham: “In the fourth generation your descendants will come back here, for the sin of the Amorites has not yet reached its full measure.” This is remarkable. God delays the conquest for </w:t>
      </w:r>
      <w:r>
        <w:rPr>
          <w:rFonts w:ascii="Times New Roman" w:hAnsi="Times New Roman" w:cs="Times New Roman"/>
          <w:i/>
          <w:iCs/>
          <w:sz w:val="22"/>
          <w:szCs w:val="22"/>
        </w:rPr>
        <w:t>four hundred years</w:t>
      </w:r>
      <w:r>
        <w:rPr>
          <w:rFonts w:ascii="Times New Roman" w:hAnsi="Times New Roman" w:cs="Times New Roman"/>
          <w:sz w:val="22"/>
          <w:szCs w:val="22"/>
        </w:rPr>
        <w:t xml:space="preserve"> until Canaanite sin reaches completeness. This was not hasty judgment or ethnic prejudice but patient endurance of increasing evil followed by decisive response.</w:t>
      </w:r>
    </w:p>
    <w:p w14:paraId="7CFA0B56" w14:textId="77777777" w:rsidR="00CA4B28" w:rsidRPr="00850CC8" w:rsidRDefault="00CA4B28"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What were these sins that warranted such judgment? Leviticus 18 provides a detailed catalog: child sacrifice to Molech, incest, bestiality, various forms of sexual immorality, and systematic injustice. These were not mere cultural differences or ritual variations; they were practices that violated natural law accessible to all peoples through conscience and general revelation. Archaeological evidence supports the practice of child sacrifice in Canaan, with infant remains found in what appear to be sacrificial deposits at Phoenician and Canaanite sites.</w:t>
      </w:r>
      <w:r>
        <w:rPr>
          <w:rFonts w:ascii="Times New Roman" w:hAnsi="Times New Roman" w:cs="Times New Roman"/>
          <w:sz w:val="22"/>
          <w:szCs w:val="22"/>
          <w:vertAlign w:val="superscript"/>
        </w:rPr>
        <w:t>3</w:t>
      </w:r>
      <w:r>
        <w:rPr>
          <w:rFonts w:ascii="Times New Roman" w:hAnsi="Times New Roman" w:cs="Times New Roman"/>
          <w:sz w:val="22"/>
          <w:szCs w:val="22"/>
        </w:rPr>
        <w:t xml:space="preserve"> Ancient sources outside the Bible also reference Canaanite religious prostitution and extreme sexual practices.</w:t>
      </w:r>
    </w:p>
    <w:p w14:paraId="1F91E0A6" w14:textId="77777777" w:rsidR="00CA4B28" w:rsidRPr="00850CC8" w:rsidRDefault="00CA4B28"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 xml:space="preserve">Critically, God judged these practices as violations of moral order </w:t>
      </w:r>
      <w:r>
        <w:rPr>
          <w:rFonts w:ascii="Times New Roman" w:hAnsi="Times New Roman" w:cs="Times New Roman"/>
          <w:i/>
          <w:iCs/>
          <w:sz w:val="22"/>
          <w:szCs w:val="22"/>
        </w:rPr>
        <w:t>independent of covenant relationship</w:t>
      </w:r>
      <w:r>
        <w:rPr>
          <w:rFonts w:ascii="Times New Roman" w:hAnsi="Times New Roman" w:cs="Times New Roman"/>
          <w:sz w:val="22"/>
          <w:szCs w:val="22"/>
        </w:rPr>
        <w:t>. This was not a case of punishing Gentiles for failing to keep Torah; these peoples were never under Torah’s covenant obligations. Rather, God held them accountable to the moral law written on all human hearts (Romans 2:14-15). The conquest was judgment under natural law, not covenant law. Within the relational framework developed in the preceding chapters, the Canaanites stood at the greatest distance from covenant relationship with God, outside both the intimate obligations that Israel bore and even the lesser proximity available to those peoples who responded to the moral law written on every human heart. And yet even at that distance, they received four centuries of patience before judgment fell.</w:t>
      </w:r>
      <w:r>
        <w:rPr>
          <w:rFonts w:ascii="Times New Roman" w:hAnsi="Times New Roman" w:cs="Times New Roman"/>
          <w:sz w:val="22"/>
          <w:szCs w:val="22"/>
          <w:vertAlign w:val="superscript"/>
        </w:rPr>
        <w:t>4</w:t>
      </w:r>
    </w:p>
    <w:p w14:paraId="3A640444" w14:textId="77777777" w:rsidR="00CA4B28" w:rsidRPr="00850CC8" w:rsidRDefault="00CA4B28"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lastRenderedPageBreak/>
        <w:t>This relational positioning illuminates God’s action. He did not owe Canaan the patient nurture and repeated warnings he gave Israel. The relationship was different. Yet his default posture even toward those outside covenant is mercy and patience, and that patience had to be exhausted before judgment came. Compare this to Sodom and Gomorrah, where God was willing to spare the cities for the sake of ten righteous people. The limits of that patience are determined partly by the severity and persistence of the evil, and partly by the relational context.</w:t>
      </w:r>
    </w:p>
    <w:p w14:paraId="2A0474E1" w14:textId="77777777" w:rsidR="00CA4B28" w:rsidRPr="00850CC8" w:rsidRDefault="00CA4B28"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The conquest, then, was not ethnic cleansing or genocidal warfare in the modern sense. It was divine judgment on societies whose practices had become so destructive that they threatened both human flourishing and God’s larger purposes for human history. Israel was the instrument of this judgment, but the judgment itself came from God’s response to objective moral evil that persisted beyond the limits of even his most patient forbearance.</w:t>
      </w:r>
    </w:p>
    <w:p w14:paraId="08049CDB" w14:textId="77777777" w:rsidR="00CA4B28" w:rsidRPr="00850CC8" w:rsidRDefault="00CA4B28" w:rsidP="00850CC8">
      <w:pPr>
        <w:pStyle w:val="Heading2"/>
        <w:spacing w:line="276" w:lineRule="auto"/>
        <w:rPr>
          <w:rFonts w:ascii="Times New Roman" w:hAnsi="Times New Roman" w:cs="Times New Roman"/>
          <w:sz w:val="22"/>
          <w:szCs w:val="22"/>
        </w:rPr>
      </w:pPr>
      <w:bookmarkStart w:id="16" w:name="_Toc228335822"/>
      <w:r>
        <w:rPr>
          <w:rFonts w:ascii="Times New Roman" w:hAnsi="Times New Roman" w:cs="Times New Roman"/>
          <w:sz w:val="22"/>
          <w:szCs w:val="22"/>
        </w:rPr>
        <w:t>Herem Warfare: Understanding the Ban</w:t>
      </w:r>
      <w:bookmarkEnd w:id="16"/>
    </w:p>
    <w:p w14:paraId="34022B1E" w14:textId="77777777" w:rsidR="00CA4B28" w:rsidRPr="00850CC8" w:rsidRDefault="00CA4B28"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 xml:space="preserve">The Hebrew term </w:t>
      </w:r>
      <w:r>
        <w:rPr>
          <w:rFonts w:ascii="Times New Roman" w:hAnsi="Times New Roman" w:cs="Times New Roman"/>
          <w:i/>
          <w:iCs/>
          <w:sz w:val="22"/>
          <w:szCs w:val="22"/>
        </w:rPr>
        <w:t>herem</w:t>
      </w:r>
      <w:r>
        <w:rPr>
          <w:rFonts w:ascii="Times New Roman" w:hAnsi="Times New Roman" w:cs="Times New Roman"/>
          <w:sz w:val="22"/>
          <w:szCs w:val="22"/>
        </w:rPr>
        <w:t xml:space="preserve"> (often translated “devote to destruction” or “utterly destroy”) represents the most troubling aspect of conquest warfare. Commands to place Canaanite cities “under the ban” appear to endorse total annihilation without mercy. How can this be reconciled with God’s character or with any defensible ethics?</w:t>
      </w:r>
    </w:p>
    <w:p w14:paraId="523CE228" w14:textId="77777777" w:rsidR="00CA4B28" w:rsidRPr="00850CC8" w:rsidRDefault="00CA4B28"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 xml:space="preserve">Understanding </w:t>
      </w:r>
      <w:r>
        <w:rPr>
          <w:rFonts w:ascii="Times New Roman" w:hAnsi="Times New Roman" w:cs="Times New Roman"/>
          <w:i/>
          <w:iCs/>
          <w:sz w:val="22"/>
          <w:szCs w:val="22"/>
        </w:rPr>
        <w:t>herem</w:t>
      </w:r>
      <w:r>
        <w:rPr>
          <w:rFonts w:ascii="Times New Roman" w:hAnsi="Times New Roman" w:cs="Times New Roman"/>
          <w:sz w:val="22"/>
          <w:szCs w:val="22"/>
        </w:rPr>
        <w:t xml:space="preserve"> requires attention to ancient Near Eastern warfare rhetoric and the specific theological purposes of Israel’s historians. Recent scholarship has demonstrated that ancient Near Eastern warfare accounts regularly employed hyperbolic language of total destruction. The Mesha Stele, for instance, has King Mesha of Moab claiming to have “utterly destroyed” Israel, yet Israel obviously survived. Egyptian pharaohs routinely claimed absolute victories that historical evidence shows were partial at best. This was the conventional language of ancient warfare reports, emphasizing total commitment and divine favor rather than providing body counts.</w:t>
      </w:r>
      <w:r>
        <w:rPr>
          <w:rFonts w:ascii="Times New Roman" w:hAnsi="Times New Roman" w:cs="Times New Roman"/>
          <w:sz w:val="22"/>
          <w:szCs w:val="22"/>
          <w:vertAlign w:val="superscript"/>
        </w:rPr>
        <w:t>5</w:t>
      </w:r>
    </w:p>
    <w:p w14:paraId="04BD0495" w14:textId="77777777" w:rsidR="00CA4B28" w:rsidRPr="00850CC8" w:rsidRDefault="00CA4B28"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 xml:space="preserve">The biblical text itself reveals this rhetorical dimension. Joshua 10:40 claims Joshua “left no survivors” and “totally destroyed all who breathed”, yet the very next chapters describe numerous Canaanite populations who clearly survived (Joshua 13:13, 15:63, 16:10, 17:12-13). Judges 1 reports extensive Canaanite survival. If we read </w:t>
      </w:r>
      <w:r>
        <w:rPr>
          <w:rFonts w:ascii="Times New Roman" w:hAnsi="Times New Roman" w:cs="Times New Roman"/>
          <w:i/>
          <w:iCs/>
          <w:sz w:val="22"/>
          <w:szCs w:val="22"/>
        </w:rPr>
        <w:t>herem</w:t>
      </w:r>
      <w:r>
        <w:rPr>
          <w:rFonts w:ascii="Times New Roman" w:hAnsi="Times New Roman" w:cs="Times New Roman"/>
          <w:sz w:val="22"/>
          <w:szCs w:val="22"/>
        </w:rPr>
        <w:t xml:space="preserve"> language as literal genocide, we must conclude that either Israel massively disobeyed or that Scripture contradicts itself within a few chapters. The better reading recognizes that </w:t>
      </w:r>
      <w:r>
        <w:rPr>
          <w:rFonts w:ascii="Times New Roman" w:hAnsi="Times New Roman" w:cs="Times New Roman"/>
          <w:i/>
          <w:iCs/>
          <w:sz w:val="22"/>
          <w:szCs w:val="22"/>
        </w:rPr>
        <w:t>herem</w:t>
      </w:r>
      <w:r>
        <w:rPr>
          <w:rFonts w:ascii="Times New Roman" w:hAnsi="Times New Roman" w:cs="Times New Roman"/>
          <w:sz w:val="22"/>
          <w:szCs w:val="22"/>
        </w:rPr>
        <w:t xml:space="preserve"> is primarily theological rhetoric about total dedication to Yahweh rather than historical description of universal killing.</w:t>
      </w:r>
      <w:r>
        <w:rPr>
          <w:rFonts w:ascii="Times New Roman" w:hAnsi="Times New Roman" w:cs="Times New Roman"/>
          <w:sz w:val="22"/>
          <w:szCs w:val="22"/>
          <w:vertAlign w:val="superscript"/>
        </w:rPr>
        <w:t>6</w:t>
      </w:r>
    </w:p>
    <w:p w14:paraId="626578C1" w14:textId="77777777" w:rsidR="00CA4B28" w:rsidRPr="00850CC8" w:rsidRDefault="00CA4B28"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 xml:space="preserve">This does not mean no one died. Warfare is warfare, and the conquest certainly involved violence and casualties. But </w:t>
      </w:r>
      <w:r>
        <w:rPr>
          <w:rFonts w:ascii="Times New Roman" w:hAnsi="Times New Roman" w:cs="Times New Roman"/>
          <w:i/>
          <w:iCs/>
          <w:sz w:val="22"/>
          <w:szCs w:val="22"/>
        </w:rPr>
        <w:t>herem</w:t>
      </w:r>
      <w:r>
        <w:rPr>
          <w:rFonts w:ascii="Times New Roman" w:hAnsi="Times New Roman" w:cs="Times New Roman"/>
          <w:sz w:val="22"/>
          <w:szCs w:val="22"/>
        </w:rPr>
        <w:t xml:space="preserve"> functions primarily to mark certain things as belonging wholly to God, removed from normal use. Sometimes this meant destruction (Jericho’s precious metals went to the sanctuary treasury, not soldiers’ pockets), but the emphasis was on dedication rather than extermination. The purpose was to prevent Israel from becoming morally compromised by Canaanite practices, as happened repeatedly when Israel failed to maintain separation.</w:t>
      </w:r>
    </w:p>
    <w:p w14:paraId="69D67FE5" w14:textId="77777777" w:rsidR="00CA4B28" w:rsidRPr="00850CC8" w:rsidRDefault="00CA4B28"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 xml:space="preserve">Moreover, </w:t>
      </w:r>
      <w:r>
        <w:rPr>
          <w:rFonts w:ascii="Times New Roman" w:hAnsi="Times New Roman" w:cs="Times New Roman"/>
          <w:i/>
          <w:iCs/>
          <w:sz w:val="22"/>
          <w:szCs w:val="22"/>
        </w:rPr>
        <w:t>herem</w:t>
      </w:r>
      <w:r>
        <w:rPr>
          <w:rFonts w:ascii="Times New Roman" w:hAnsi="Times New Roman" w:cs="Times New Roman"/>
          <w:sz w:val="22"/>
          <w:szCs w:val="22"/>
        </w:rPr>
        <w:t xml:space="preserve"> applied selectively. Deuteronomy 20 distinguishes between cities “far from you” (where Israel was to offer peace terms first) and cities within the promised land (where </w:t>
      </w:r>
      <w:r>
        <w:rPr>
          <w:rFonts w:ascii="Times New Roman" w:hAnsi="Times New Roman" w:cs="Times New Roman"/>
          <w:i/>
          <w:iCs/>
          <w:sz w:val="22"/>
          <w:szCs w:val="22"/>
        </w:rPr>
        <w:t>herem</w:t>
      </w:r>
      <w:r>
        <w:rPr>
          <w:rFonts w:ascii="Times New Roman" w:hAnsi="Times New Roman" w:cs="Times New Roman"/>
          <w:sz w:val="22"/>
          <w:szCs w:val="22"/>
        </w:rPr>
        <w:t xml:space="preserve"> applied). Even within the land, exceptions were made. Rahab’s family was spared because of her faith; the Gibeonites were spared because they sought covenant, even through deception. The door to mercy </w:t>
        <w:lastRenderedPageBreak/>
        <w:t>remained open to any who approached it. This is the relational logic we have seen throughout Scripture: those who moved toward relationship with Israel’s God found mercy even in the context of judgment.</w:t>
      </w:r>
    </w:p>
    <w:p w14:paraId="64F550BA" w14:textId="77777777" w:rsidR="00CA4B28" w:rsidRPr="00850CC8" w:rsidRDefault="00CA4B28"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 xml:space="preserve">The </w:t>
      </w:r>
      <w:r>
        <w:rPr>
          <w:rFonts w:ascii="Times New Roman" w:hAnsi="Times New Roman" w:cs="Times New Roman"/>
          <w:i/>
          <w:iCs/>
          <w:sz w:val="22"/>
          <w:szCs w:val="22"/>
        </w:rPr>
        <w:t>herem</w:t>
      </w:r>
      <w:r>
        <w:rPr>
          <w:rFonts w:ascii="Times New Roman" w:hAnsi="Times New Roman" w:cs="Times New Roman"/>
          <w:sz w:val="22"/>
          <w:szCs w:val="22"/>
        </w:rPr>
        <w:t xml:space="preserve"> command also had a protective purpose for Israel. God knew, and history proved, that if Canaanite religious practices remained accessible, Israel would adopt them. Deuteronomy 20:18 states this explicitly: “Otherwise, they will teach you to follow all the detestable things they do in worshiping their gods, and you will sin against the LORD your God.” The severity of the command reflects not arbitrary harshness but realistic assessment of human susceptibility to corrupting influences. Israel, bound in intimate covenant relationship, required protection from practices that would destroy that relationship.</w:t>
      </w:r>
    </w:p>
    <w:p w14:paraId="3226D5EC" w14:textId="77777777" w:rsidR="00CA4B28" w:rsidRPr="00850CC8" w:rsidRDefault="00CA4B28"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 xml:space="preserve">Understanding </w:t>
      </w:r>
      <w:r>
        <w:rPr>
          <w:rFonts w:ascii="Times New Roman" w:hAnsi="Times New Roman" w:cs="Times New Roman"/>
          <w:i/>
          <w:iCs/>
          <w:sz w:val="22"/>
          <w:szCs w:val="22"/>
        </w:rPr>
        <w:t>herem</w:t>
      </w:r>
      <w:r>
        <w:rPr>
          <w:rFonts w:ascii="Times New Roman" w:hAnsi="Times New Roman" w:cs="Times New Roman"/>
          <w:sz w:val="22"/>
          <w:szCs w:val="22"/>
        </w:rPr>
        <w:t xml:space="preserve"> as theological rhetoric about dedication rather than literal genocide does not eliminate all moral difficulties. People did die in these conflicts. But it reframes the question: instead of defending universal extermination (which did not happen), we address the justified scope of divine judgment through warfare (which did occur) and God’s protective purposes for his covenant people.</w:t>
      </w:r>
    </w:p>
    <w:p w14:paraId="16E99D39" w14:textId="77777777" w:rsidR="00CA4B28" w:rsidRPr="00850CC8" w:rsidRDefault="00CA4B28" w:rsidP="00850CC8">
      <w:pPr>
        <w:pStyle w:val="Heading2"/>
        <w:spacing w:line="276" w:lineRule="auto"/>
        <w:rPr>
          <w:rFonts w:ascii="Times New Roman" w:hAnsi="Times New Roman" w:cs="Times New Roman"/>
          <w:sz w:val="22"/>
          <w:szCs w:val="22"/>
        </w:rPr>
      </w:pPr>
      <w:bookmarkStart w:id="17" w:name="_Toc228335823"/>
      <w:r>
        <w:rPr>
          <w:rFonts w:ascii="Times New Roman" w:hAnsi="Times New Roman" w:cs="Times New Roman"/>
          <w:sz w:val="22"/>
          <w:szCs w:val="22"/>
        </w:rPr>
        <w:t>The Question of Innocent Casualties</w:t>
      </w:r>
      <w:bookmarkEnd w:id="17"/>
    </w:p>
    <w:p w14:paraId="1B41490F" w14:textId="77777777" w:rsidR="00CA4B28" w:rsidRPr="00850CC8" w:rsidRDefault="00CA4B28"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 xml:space="preserve">Even if we accept that the conquest represented divine judgment on societies practicing severe evil, and even if we recognize that </w:t>
      </w:r>
      <w:r>
        <w:rPr>
          <w:rFonts w:ascii="Times New Roman" w:hAnsi="Times New Roman" w:cs="Times New Roman"/>
          <w:i/>
          <w:iCs/>
          <w:sz w:val="22"/>
          <w:szCs w:val="22"/>
        </w:rPr>
        <w:t>herem</w:t>
      </w:r>
      <w:r>
        <w:rPr>
          <w:rFonts w:ascii="Times New Roman" w:hAnsi="Times New Roman" w:cs="Times New Roman"/>
          <w:sz w:val="22"/>
          <w:szCs w:val="22"/>
        </w:rPr>
        <w:t xml:space="preserve"> language is largely rhetorical, we still face the hardest question: What about the children? What about individuals who may not have participated in child sacrifice or other condemned practices? How does divine justice not require distinguishing between guilty and innocent?</w:t>
      </w:r>
    </w:p>
    <w:p w14:paraId="329C8484" w14:textId="77777777" w:rsidR="00CA4B28" w:rsidRPr="00850CC8" w:rsidRDefault="00CA4B28"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This question deserves our most careful thought, and we must avoid easy answers. Several considerations inform a response within our relational framework.</w:t>
      </w:r>
    </w:p>
    <w:p w14:paraId="39947B0B" w14:textId="77777777" w:rsidR="00CA4B28" w:rsidRPr="00850CC8" w:rsidRDefault="00CA4B28"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The first is the corporate nature of ancient judgment. Modern Western ethics is intensely individualistic: we assume that justice must be individually tailored, that punishment must be personally deserved. But ancient cultures, including Israel, operated with a strong sense of corporate identity. When judgment fell on a city or nation, it fell corporately. This was not because ancients were less morally sophisticated, but because they recognized a truth we have partially lost: individuals are profoundly shaped by and embedded in corporate entities. A child raised in a culture of child sacrifice is not merely an innocent bystander; that child is being formed into someone who will perpetuate that culture.</w:t>
      </w:r>
      <w:r>
        <w:rPr>
          <w:rFonts w:ascii="Times New Roman" w:hAnsi="Times New Roman" w:cs="Times New Roman"/>
          <w:sz w:val="22"/>
          <w:szCs w:val="22"/>
          <w:vertAlign w:val="superscript"/>
        </w:rPr>
        <w:t>7</w:t>
      </w:r>
    </w:p>
    <w:p w14:paraId="10412C97" w14:textId="77777777" w:rsidR="00CA4B28" w:rsidRPr="00850CC8" w:rsidRDefault="00CA4B28"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This is not to say children deserved death for their parents’ sins. It is to recognize that divine judgment on a society includes those who are part of that society. When God sent the flood, children died along with adults, not because the children were individually guilty, but because judgment on that civilization was corporate. When exile came to Judah centuries later, children suffered alongside adults. Corporate judgment is a persistent biblical pattern, reflecting the corporate nature of human existence.</w:t>
      </w:r>
    </w:p>
    <w:p w14:paraId="2F585D4C" w14:textId="77777777" w:rsidR="00CA4B28" w:rsidRPr="00850CC8" w:rsidRDefault="00CA4B28"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The second consideration is harder to state without misunderstanding, but it deserves to be stated. Children who die before reaching moral accountability are, in Christian theology, received into God’s mercy. They are not condemned for sins they did not personally commit. But children who grow up in deeply evil cultures, who are systematically trained in child sacrifice, ritual prostitution, and cruelty, face a different future. They are being formed into persons who will practice these evils and face judgment for their own chosen actions. From an eternal perspective, death in childhood may be merciful compared to a life of evil followed by its consequences.</w:t>
      </w:r>
      <w:r>
        <w:rPr>
          <w:rFonts w:ascii="Times New Roman" w:hAnsi="Times New Roman" w:cs="Times New Roman"/>
          <w:sz w:val="22"/>
          <w:szCs w:val="22"/>
          <w:vertAlign w:val="superscript"/>
        </w:rPr>
        <w:t>8</w:t>
      </w:r>
    </w:p>
    <w:p w14:paraId="6BFFE82D" w14:textId="77777777" w:rsidR="00CA4B28" w:rsidRPr="00850CC8" w:rsidRDefault="00CA4B28"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lastRenderedPageBreak/>
        <w:t>This does not make the death of children good. It remains tragic. But it shifts the question from “Why would a good God allow children to die?” to “Given that all will die, when is death less tragic?” We must be cautious not to use this reflection to minimize grief. But it does suggest that divine judgment, even when it includes children, may involve a mercy that is not immediately apparent to us.</w:t>
      </w:r>
    </w:p>
    <w:p w14:paraId="537AEFB2" w14:textId="77777777" w:rsidR="00CA4B28" w:rsidRPr="00850CC8" w:rsidRDefault="00CA4B28"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Third, the actual scope of casualties was more limited than simple readings suggest. Many Canaanites survived: some were assimilated into Israel, others remained in unconquered areas, still others fled to surrounding regions. Archaeological evidence suggests military engagements against fortified cities and their defenders, not systematic targeting of women and children. While women and children were undoubtedly affected by the warfare and its aftermath, the picture of methodical genocide of non-combatants is not supported by careful reading of the texts or by archaeological evidence.</w:t>
      </w:r>
      <w:r>
        <w:rPr>
          <w:rFonts w:ascii="Times New Roman" w:hAnsi="Times New Roman" w:cs="Times New Roman"/>
          <w:sz w:val="22"/>
          <w:szCs w:val="22"/>
          <w:vertAlign w:val="superscript"/>
        </w:rPr>
        <w:t>9</w:t>
      </w:r>
    </w:p>
    <w:p w14:paraId="2E4A687D" w14:textId="77777777" w:rsidR="00CA4B28" w:rsidRPr="00850CC8" w:rsidRDefault="00CA4B28"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Fourth, the uniqueness of this judgment matters. God never repeated this kind of command. It was specific to the conquest of Canaan at a particular historical moment and was not a model for ongoing religious warfare. Indeed, Israel was later condemned for treating other nations cruelly. The uniqueness of the command suggests it served specific historical and theological purposes related to establishing Israel in the land and eliminating particularly corrupting influences at a foundational moment. This was not normal operation but exceptional judgment.</w:t>
      </w:r>
    </w:p>
    <w:p w14:paraId="779761AB" w14:textId="77777777" w:rsidR="00CA4B28" w:rsidRPr="00850CC8" w:rsidRDefault="00CA4B28"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Fifth, and finally, there is the eschatological perspective. Scripture teaches that God will ultimately judge all persons with perfect knowledge and perfect justice. Those who died in the conquest, whether adults who practiced evil or children who were victims, will face a Judge who knows everything about their circumstances, their formation, their choices, and their hearts. We can trust that the Judge of all the earth will do right, even when we cannot fully comprehend his judgments from our limited temporal perspective.</w:t>
      </w:r>
    </w:p>
    <w:p w14:paraId="058ACA4C" w14:textId="77777777" w:rsidR="00CA4B28" w:rsidRPr="00850CC8" w:rsidRDefault="00CA4B28"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These considerations do not eliminate the tragedy of innocent casualties in divine judgment. They do not make us comfortable with these texts. But they suggest that within the relational framework, where God’s actions toward people are determined partly by their relationship to him and partly by the corporate realities of human existence, the conquest can be understood as just judgment that is more merciful than it initially appears, even while acknowledging its real tragic dimension.</w:t>
      </w:r>
    </w:p>
    <w:p w14:paraId="387F6BC0" w14:textId="77777777" w:rsidR="00CA4B28" w:rsidRPr="00850CC8" w:rsidRDefault="00CA4B28" w:rsidP="00850CC8">
      <w:pPr>
        <w:pStyle w:val="Heading2"/>
        <w:spacing w:line="276" w:lineRule="auto"/>
        <w:rPr>
          <w:rFonts w:ascii="Times New Roman" w:hAnsi="Times New Roman" w:cs="Times New Roman"/>
          <w:sz w:val="22"/>
          <w:szCs w:val="22"/>
        </w:rPr>
      </w:pPr>
      <w:bookmarkStart w:id="18" w:name="_Toc228335824"/>
      <w:r>
        <w:rPr>
          <w:rFonts w:ascii="Times New Roman" w:hAnsi="Times New Roman" w:cs="Times New Roman"/>
          <w:sz w:val="22"/>
          <w:szCs w:val="22"/>
        </w:rPr>
        <w:t>The Trajectory of Scripture: From Conquest to Cross</w:t>
      </w:r>
      <w:bookmarkEnd w:id="18"/>
    </w:p>
    <w:p w14:paraId="0B5569B0" w14:textId="77777777" w:rsidR="00CA4B28" w:rsidRPr="00850CC8" w:rsidRDefault="00CA4B28"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One of the most important aspects of addressing conquest narratives is recognizing where they fit in Scripture’s overall trajectory. The Bible is not a flat text where every passage has equal weight for determining God’s character and purposes. It is a progressive revelation that moves toward its climax in Jesus Christ. The conquest narratives, while true and instructive, represent an early phase in this revelation.</w:t>
      </w:r>
    </w:p>
    <w:p w14:paraId="66C43C9B" w14:textId="77777777" w:rsidR="00CA4B28" w:rsidRPr="00850CC8" w:rsidRDefault="00CA4B28"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God’s ultimate response to human evil is not military conquest but self-sacrificial love. Jesus does not command his disciples to destroy their enemies but to love them. The kingdom of God does not advance through violence but through proclamation and service. The final judgment belongs to God alone, executed not by human agents but by the returning Christ. This is the direction Scripture moves: from particular judgments executed through Israel to universal judgment reserved for God’s direct action, and from coercive power to persuasive love as the normal means of God’s engagement with humanity.</w:t>
      </w:r>
    </w:p>
    <w:p w14:paraId="115604F1" w14:textId="77777777" w:rsidR="00CA4B28" w:rsidRPr="00850CC8" w:rsidRDefault="00CA4B28"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lastRenderedPageBreak/>
        <w:t>This does not mean the conquest was wrong. It means it was provisional. It accomplished specific purposes at a specific time, preparing for the coming of Christ and the establishment of his kingdom. Just as animal sacrifices were explicitly commanded by God yet provisional until the ultimate sacrifice of Christ, so conquest warfare was explicitly commanded yet provisional until the kingdom came in its fuller form.</w:t>
      </w:r>
    </w:p>
    <w:p w14:paraId="2C0843FB" w14:textId="77777777" w:rsidR="00CA4B28" w:rsidRPr="00850CC8" w:rsidRDefault="00CA4B28"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Moreover, Jesus himself becomes the ultimate victim of human violence. The cross reveals how God actually responds to evil in the fullness of revelation, not by destroying sinners but by bearing their sin, not by imposing external judgment but by taking judgment upon himself. This is the heart of the gospel: God’s justice is satisfied not by punishing us but by becoming the punishment for us. The trajectory from Joshua to Jesus is the trajectory from judgment executed outwardly to judgment borne inwardly.</w:t>
      </w:r>
    </w:p>
    <w:p w14:paraId="5424B106" w14:textId="77777777" w:rsidR="00CA4B28" w:rsidRPr="00850CC8" w:rsidRDefault="00CA4B28"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This helps us understand why Christians do not engage in conquest warfare despite its presence in the Old Testament. We live after the climax of revelation in Christ. We are called to embody the kingdom as Jesus revealed it, not to replicate Israel’s conquest of Canaan. The relational framework explains this: Israel’s relationship to the surrounding peoples was different from the church’s relationship to the world. Israel was a theocratic nation with land promises; the church is a multinational community with a spiritual mission. Different relationships require different ethics.</w:t>
      </w:r>
      <w:r>
        <w:rPr>
          <w:rFonts w:ascii="Times New Roman" w:hAnsi="Times New Roman" w:cs="Times New Roman"/>
          <w:sz w:val="22"/>
          <w:szCs w:val="22"/>
          <w:vertAlign w:val="superscript"/>
        </w:rPr>
        <w:t>10</w:t>
      </w:r>
    </w:p>
    <w:p w14:paraId="1EA81FE7" w14:textId="77777777" w:rsidR="00CA4B28" w:rsidRPr="00850CC8" w:rsidRDefault="00CA4B28"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The conquest narratives are Scripture’s testimony to God’s justice and to the seriousness of moral evil. But they are not our operational instructions. Our instructions come from Jesus, who shows us that God’s preferred way of dealing with enemies is to die for them, and God’s method of establishing his kingdom is through transformed hearts rather than military power.</w:t>
      </w:r>
    </w:p>
    <w:p w14:paraId="32DCA9E6" w14:textId="77777777" w:rsidR="00CA4B28" w:rsidRPr="00850CC8" w:rsidRDefault="00CA4B28" w:rsidP="00850CC8">
      <w:pPr>
        <w:pStyle w:val="Heading2"/>
        <w:spacing w:line="276" w:lineRule="auto"/>
        <w:rPr>
          <w:rFonts w:ascii="Times New Roman" w:hAnsi="Times New Roman" w:cs="Times New Roman"/>
          <w:sz w:val="22"/>
          <w:szCs w:val="22"/>
        </w:rPr>
      </w:pPr>
      <w:bookmarkStart w:id="19" w:name="_Toc228335825"/>
      <w:r>
        <w:rPr>
          <w:rFonts w:ascii="Times New Roman" w:hAnsi="Times New Roman" w:cs="Times New Roman"/>
          <w:sz w:val="22"/>
          <w:szCs w:val="22"/>
        </w:rPr>
        <w:t>Addressing Specific Objections</w:t>
      </w:r>
      <w:bookmarkEnd w:id="19"/>
    </w:p>
    <w:p w14:paraId="566EB33F" w14:textId="77777777" w:rsidR="00CA4B28" w:rsidRPr="00850CC8" w:rsidRDefault="00CA4B28"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Having established a framework for understanding conquest narratives, we must address specific objections that remain troubling even when the broader picture is clear.</w:t>
      </w:r>
    </w:p>
    <w:p w14:paraId="6FDF57CB" w14:textId="77777777" w:rsidR="00CA4B28" w:rsidRPr="00850CC8" w:rsidRDefault="00CA4B28" w:rsidP="00850CC8">
      <w:pPr>
        <w:spacing w:before="240" w:after="120" w:line="276" w:lineRule="auto"/>
        <w:rPr>
          <w:rFonts w:ascii="Times New Roman" w:hAnsi="Times New Roman" w:cs="Times New Roman"/>
          <w:sz w:val="22"/>
          <w:szCs w:val="22"/>
        </w:rPr>
      </w:pPr>
      <w:r>
        <w:rPr>
          <w:rFonts w:ascii="Times New Roman" w:hAnsi="Times New Roman" w:cs="Times New Roman"/>
          <w:b/>
          <w:bCs/>
          <w:sz w:val="22"/>
          <w:szCs w:val="22"/>
        </w:rPr>
        <w:t>Objection: “This still amounts to ethnic cleansing based on group identity.”</w:t>
      </w:r>
    </w:p>
    <w:p w14:paraId="6637F3C4" w14:textId="77777777" w:rsidR="00CA4B28" w:rsidRPr="00850CC8" w:rsidRDefault="00CA4B28"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The conquest was judgment based on moral practices, not ethnic identity. The proof lies in God’s treatment of other peoples. Rahab the Canaanite was spared and became part of Jesus’s lineage. The Gibeonites were spared despite their deception. Ruth the Moabite became David’s great-grandmother. Later, God sent Jonah to offer mercy to Nineveh, Israel’s enemy. The determining factor was not ethnicity but relationship to God and moral practice. Had the Canaanites corporately turned from their practices, they would have been spared, as Nineveh was spared. The judgment was moral, not racial.</w:t>
      </w:r>
    </w:p>
    <w:p w14:paraId="0B8F8B23" w14:textId="77777777" w:rsidR="00CA4B28" w:rsidRPr="00850CC8" w:rsidRDefault="00CA4B28" w:rsidP="00850CC8">
      <w:pPr>
        <w:spacing w:before="240" w:after="120" w:line="276" w:lineRule="auto"/>
        <w:rPr>
          <w:rFonts w:ascii="Times New Roman" w:hAnsi="Times New Roman" w:cs="Times New Roman"/>
          <w:sz w:val="22"/>
          <w:szCs w:val="22"/>
        </w:rPr>
      </w:pPr>
      <w:r>
        <w:rPr>
          <w:rFonts w:ascii="Times New Roman" w:hAnsi="Times New Roman" w:cs="Times New Roman"/>
          <w:b/>
          <w:bCs/>
          <w:sz w:val="22"/>
          <w:szCs w:val="22"/>
        </w:rPr>
        <w:t>Objection: “The excuse of ‘they were evil’ has been used to justify countless atrocities throughout history.”</w:t>
      </w:r>
    </w:p>
    <w:p w14:paraId="1CD96488" w14:textId="77777777" w:rsidR="00CA4B28" w:rsidRPr="00850CC8" w:rsidRDefault="00CA4B28"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 xml:space="preserve">This is absolutely true, and we must take it seriously. The misuse of conquest narratives to justify colonialism, crusades, and genocide is a tragic chapter in Christian history. But misuse does not determine meaning. The conquest was unique in several respects: it was specifically commanded by God rather than claimed as divine sanction for human ambition; it was limited in scope and time, not an ongoing program; it included Israel itself in its judgment, since God later destroyed Jerusalem and exiled Israel for </w:t>
        <w:lastRenderedPageBreak/>
        <w:t>comparable sins; and it was never repeated or held up as a model for future action. When Christians have used these texts to justify their own violence, they have misappropriated them. The New Testament provides no sanction for Christians to execute divine judgment through violence; that prerogative belongs to God alone and awaits final judgment.</w:t>
      </w:r>
    </w:p>
    <w:p w14:paraId="5AF26C54" w14:textId="77777777" w:rsidR="00CA4B28" w:rsidRPr="00850CC8" w:rsidRDefault="00CA4B28" w:rsidP="00850CC8">
      <w:pPr>
        <w:spacing w:before="240" w:after="120" w:line="276" w:lineRule="auto"/>
        <w:rPr>
          <w:rFonts w:ascii="Times New Roman" w:hAnsi="Times New Roman" w:cs="Times New Roman"/>
          <w:sz w:val="22"/>
          <w:szCs w:val="22"/>
        </w:rPr>
      </w:pPr>
      <w:r>
        <w:rPr>
          <w:rFonts w:ascii="Times New Roman" w:hAnsi="Times New Roman" w:cs="Times New Roman"/>
          <w:b/>
          <w:bCs/>
          <w:sz w:val="22"/>
          <w:szCs w:val="22"/>
        </w:rPr>
        <w:t>Objection: “If God can command killing in the Old Testament, why can’t he command it now?”</w:t>
      </w:r>
    </w:p>
    <w:p w14:paraId="2132B1D4" w14:textId="77777777" w:rsidR="00CA4B28" w:rsidRPr="00850CC8" w:rsidRDefault="00CA4B28"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Because revelation is complete in Christ, and Christ has definitively shown us God’s character and methods. The canon is closed. We are not waiting for new commands that might contradict Jesus’s teachings. Anyone who claims God is commanding them to violence is either mistaken or deceptive, because such commands would contradict the definitive revelation in Christ. The conquest happened within a particular phase of redemptive history that has now passed. We live in the age of gospel proclamation, not conquest execution.</w:t>
      </w:r>
    </w:p>
    <w:p w14:paraId="30DCC74A" w14:textId="77777777" w:rsidR="00CA4B28" w:rsidRPr="00850CC8" w:rsidRDefault="00CA4B28" w:rsidP="00850CC8">
      <w:pPr>
        <w:spacing w:before="240" w:after="120" w:line="276" w:lineRule="auto"/>
        <w:rPr>
          <w:rFonts w:ascii="Times New Roman" w:hAnsi="Times New Roman" w:cs="Times New Roman"/>
          <w:sz w:val="22"/>
          <w:szCs w:val="22"/>
        </w:rPr>
      </w:pPr>
      <w:r>
        <w:rPr>
          <w:rFonts w:ascii="Times New Roman" w:hAnsi="Times New Roman" w:cs="Times New Roman"/>
          <w:b/>
          <w:bCs/>
          <w:sz w:val="22"/>
          <w:szCs w:val="22"/>
        </w:rPr>
        <w:t>Objection: “Why didn’t God find a less violent way to accomplish his purposes?”</w:t>
      </w:r>
    </w:p>
    <w:p w14:paraId="20D64158" w14:textId="77777777" w:rsidR="00CA4B28" w:rsidRPr="00850CC8" w:rsidRDefault="00CA4B28"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This assumes we can judge what methods God should have used, a perspective that ignores the vast difference in knowledge and understanding between creatures and Creator. We see a small slice of history; God sees and orchestrates all of it. That said, we can note that God did use less violent methods whenever possible. He waited four hundred years. He accepted any who came to him for mercy. He limited the scope of judgment. He eventually accomplished his ultimate purposes not through conquest but through the cross, where violence was borne rather than inflicted. The conquest was not God’s ideal but a necessary intervention at a particular historical moment. God’s ideal, revealed in Christ, is reconciliation through suffering love, but that ideal requires willing recipients, and sometimes God’s justice requires action even when recipients are unwilling.</w:t>
      </w:r>
    </w:p>
    <w:p w14:paraId="5695902E" w14:textId="77777777" w:rsidR="00CA4B28" w:rsidRPr="00850CC8" w:rsidRDefault="00CA4B28" w:rsidP="00850CC8">
      <w:pPr>
        <w:spacing w:before="240" w:after="120" w:line="276" w:lineRule="auto"/>
        <w:rPr>
          <w:rFonts w:ascii="Times New Roman" w:hAnsi="Times New Roman" w:cs="Times New Roman"/>
          <w:sz w:val="22"/>
          <w:szCs w:val="22"/>
        </w:rPr>
      </w:pPr>
      <w:r>
        <w:rPr>
          <w:rFonts w:ascii="Times New Roman" w:hAnsi="Times New Roman" w:cs="Times New Roman"/>
          <w:b/>
          <w:bCs/>
          <w:sz w:val="22"/>
          <w:szCs w:val="22"/>
        </w:rPr>
        <w:t>Objection: “These explanations sound like special pleading.”</w:t>
      </w:r>
    </w:p>
    <w:p w14:paraId="42C90BED" w14:textId="77777777" w:rsidR="00CA4B28" w:rsidRPr="00850CC8" w:rsidRDefault="00CA4B28"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This objection has force. We must ask whether our framework would excuse similar commands from other sources. The answer is no, but not because we make special allowances for Israel’s God. Rather, the factors that make the conquest defensible are objectively assessable: the moral basis for judgment (Canaanite practices violated natural law); the patience preceding judgment (four hundred years); the availability of mercy (Rahab, Gibeonites); the limited scope and non-repetition of the command; the consistency with God’s character as revealed across Scripture; and the provisional nature of the command within redemptive history. If any other deity were alleged to have commanded similar actions, we would evaluate the claim by the same criteria. Most religious violence fails these tests entirely. It is typically about power, resources, or ethnic hatred rather than moral judgment; it lacks patience and an offer of mercy; it is ongoing rather than exceptional; it contradicts rather than fulfills the deity’s character; and it is perpetual rather than provisional. The conquest is defensible not because we grade God on a different scale but because it actually differs from ordinary religious violence in theologically and morally significant ways.</w:t>
      </w:r>
    </w:p>
    <w:p w14:paraId="35DB6D6C" w14:textId="77777777" w:rsidR="00CA4B28" w:rsidRPr="00850CC8" w:rsidRDefault="00CA4B28" w:rsidP="00850CC8">
      <w:pPr>
        <w:pStyle w:val="Heading2"/>
        <w:spacing w:line="276" w:lineRule="auto"/>
        <w:rPr>
          <w:rFonts w:ascii="Times New Roman" w:hAnsi="Times New Roman" w:cs="Times New Roman"/>
          <w:sz w:val="22"/>
          <w:szCs w:val="22"/>
        </w:rPr>
      </w:pPr>
      <w:bookmarkStart w:id="20" w:name="_Toc228335826"/>
      <w:r>
        <w:rPr>
          <w:rFonts w:ascii="Times New Roman" w:hAnsi="Times New Roman" w:cs="Times New Roman"/>
          <w:sz w:val="22"/>
          <w:szCs w:val="22"/>
        </w:rPr>
        <w:t>Contemporary Application</w:t>
      </w:r>
      <w:bookmarkEnd w:id="20"/>
    </w:p>
    <w:p w14:paraId="3E019868" w14:textId="77777777" w:rsidR="00CA4B28" w:rsidRPr="00850CC8" w:rsidRDefault="00CA4B28"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What should contemporary readers take away from these troubling texts? How do we apply conquest narratives to Christian life without either explaining them away or using them to justify violence?</w:t>
      </w:r>
    </w:p>
    <w:p w14:paraId="5E40B541" w14:textId="77777777" w:rsidR="00CA4B28" w:rsidRPr="00850CC8" w:rsidRDefault="00CA4B28"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lastRenderedPageBreak/>
        <w:t>We learn, first, about the seriousness of sin and the reality of judgment. The conquest reminds us that evil has consequences, that moral order is real, and that God will not indefinitely tolerate persistent wickedness. In an age that wants to reduce all divine action to affirmation and acceptance, these texts insist that God’s justice is real. They warn us that societies, including our own, that systematically violate moral order will eventually face judgment. They call us to take sin seriously in our own lives, knowing that God does not ignore evil.</w:t>
      </w:r>
    </w:p>
    <w:p w14:paraId="737678E5" w14:textId="77777777" w:rsidR="00CA4B28" w:rsidRPr="00850CC8" w:rsidRDefault="00CA4B28"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We learn, second, about God’s patience and mercy. Four hundred years of patience. Rahab saved by faith. Nineveh spared by repentance. These texts do not primarily teach us about God’s violence but about his mercy: that he waits, that he offers chances, that he receives any who turn to him. Even in the midst of judgment, mercy operates. The conquest texts, properly read, should increase our confidence in God’s mercy rather than diminish it, because they show how far God will go to avoid judgment and how ready he is to show mercy to any who seek it.</w:t>
      </w:r>
    </w:p>
    <w:p w14:paraId="2308D3D1" w14:textId="77777777" w:rsidR="00CA4B28" w:rsidRPr="00850CC8" w:rsidRDefault="00CA4B28"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We learn, third, about the importance of moral and spiritual distinctiveness. The command to separate from Canaanite practices was not arbitrary moralism but realistic protection. Israel’s repeated failure to maintain separation led to their adoption of child sacrifice, idolatry, and injustice, eventually bringing God’s judgment on Israel itself. For Christians, this translates not into physical separation but into the kind of moral distinctiveness that reflects God’s kingdom even when surrounded by contradictory cultural norms. The conquest reminds us that accommodation to evil practices, whether ancient child sacrifice or contemporary injustices, ultimately destroys covenant relationship.</w:t>
      </w:r>
    </w:p>
    <w:p w14:paraId="24B2BEB0" w14:textId="77777777" w:rsidR="00CA4B28" w:rsidRPr="00850CC8" w:rsidRDefault="00CA4B28"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We learn, fourth, humility about our own judgments. If God judged Canaan for practices that violated natural law, he will also judge us when we violate that law. The conquest narratives should produce humility rather than pride: recognition that we too live under moral order, that our own societies practice evils we rationalize, that we cannot claim moral superiority to ancient Canaan when we permit abortion, exploitation, and systemic injustice. These texts should drive us to repentance more than to judgment of others.</w:t>
      </w:r>
    </w:p>
    <w:p w14:paraId="784A1D88" w14:textId="77777777" w:rsidR="00CA4B28" w:rsidRPr="00850CC8" w:rsidRDefault="00CA4B28"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We learn, fifth, to trust God’s justice even when we do not fully understand it. The conquest texts remain difficult. Even with our best interpretation, questions persist. But they teach us to trust that the Judge of all the earth will do right, that God’s knowledge exceeds ours, that his justice is perfect even when his ways are mysterious. This is not blind faith but trust grounded in God’s character as revealed across Scripture, particularly in Christ, who demonstrates that God’s ultimate response to human sin is self-giving love rather than destructive judgment.</w:t>
      </w:r>
    </w:p>
    <w:p w14:paraId="4E5BE211" w14:textId="77777777" w:rsidR="00CA4B28" w:rsidRPr="00850CC8" w:rsidRDefault="00CA4B28"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We learn, sixth, that Scripture requires wrestling rather than simple reading. These are not easy texts. They should not be easy. They force us to think deeply about justice, mercy, divine sovereignty, and human responsibility. They resist simplistic readings from any theological perspective. This wrestling is itself valuable: it keeps us from shallow faith, forces us to theological and philosophical rigor, and ultimately deepens our understanding of God’s character and ways. The difficulty of these texts is not a defect but a feature, requiring us to read with care, humility, and dependence on the Spirit’s illumination.</w:t>
      </w:r>
    </w:p>
    <w:p w14:paraId="35FC832A" w14:textId="77777777" w:rsidR="00CA4B28" w:rsidRPr="00850CC8" w:rsidRDefault="00CA4B28" w:rsidP="00850CC8">
      <w:pPr>
        <w:pStyle w:val="Heading2"/>
        <w:spacing w:line="276" w:lineRule="auto"/>
        <w:rPr>
          <w:rFonts w:ascii="Times New Roman" w:hAnsi="Times New Roman" w:cs="Times New Roman"/>
          <w:sz w:val="22"/>
          <w:szCs w:val="22"/>
        </w:rPr>
      </w:pPr>
      <w:bookmarkStart w:id="21" w:name="_Toc228335827"/>
      <w:r>
        <w:rPr>
          <w:rFonts w:ascii="Times New Roman" w:hAnsi="Times New Roman" w:cs="Times New Roman"/>
          <w:sz w:val="22"/>
          <w:szCs w:val="22"/>
        </w:rPr>
        <w:t>Conclusion</w:t>
      </w:r>
      <w:bookmarkEnd w:id="21"/>
    </w:p>
    <w:p w14:paraId="3340A5B2" w14:textId="77777777" w:rsidR="00CA4B28" w:rsidRPr="00850CC8" w:rsidRDefault="00CA4B28"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 xml:space="preserve">We began this chapter acknowledging that conquest narratives represent the hardest test for any defense of biblical ethics. We end it still acknowledging their difficulty, but with a framework that allows </w:t>
        <w:lastRenderedPageBreak/>
        <w:t>us to understand them as consistent with God’s character as revealed across Scripture and ultimately in Christ.</w:t>
      </w:r>
    </w:p>
    <w:p w14:paraId="5221636C" w14:textId="77777777" w:rsidR="00CA4B28" w:rsidRPr="00850CC8" w:rsidRDefault="00CA4B28"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The relational framework explains what appears inexplicable when read through either pure universalism (which cannot account for God treating peoples differently) or pure particularism (which makes God’s actions arbitrary). By recognizing that relationship creates real moral differences in obligation and response, we can see how the same God who is merciful to all can execute severe judgment on some, not because of inconsistency, but because different relationships require different actions, and judgment itself operates within relational categories.</w:t>
      </w:r>
    </w:p>
    <w:p w14:paraId="65F00431" w14:textId="77777777" w:rsidR="00CA4B28" w:rsidRPr="00850CC8" w:rsidRDefault="00CA4B28"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The conquest was: moral judgment on practices that violated natural law; corporate judgment on societies whose evil reached completion after extraordinary patience; protective action to preserve Israel’s covenant relationship from corrupting influences; provisional judgment within a particular phase of redemptive history; unique and unrepeatable rather than a model for ongoing religious warfare; more limited in actual scope than simplistic readings suggest; and consistently open to mercy for any who sought it, regardless of ethnicity.</w:t>
      </w:r>
    </w:p>
    <w:p w14:paraId="43DDC376" w14:textId="77777777" w:rsidR="00CA4B28" w:rsidRPr="00850CC8" w:rsidRDefault="00CA4B28"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 xml:space="preserve">These factors do not eliminate all moral tensions. They do not make us comfortable with these texts. The death of children in warfare remains tragic, even when understood within corporate judgment. The execution of divine judgment through human agency remains troubling, even when recognizing its unique authorization. The severity of </w:t>
      </w:r>
      <w:r>
        <w:rPr>
          <w:rFonts w:ascii="Times New Roman" w:hAnsi="Times New Roman" w:cs="Times New Roman"/>
          <w:i/>
          <w:iCs/>
          <w:sz w:val="22"/>
          <w:szCs w:val="22"/>
        </w:rPr>
        <w:t>herem</w:t>
      </w:r>
      <w:r>
        <w:rPr>
          <w:rFonts w:ascii="Times New Roman" w:hAnsi="Times New Roman" w:cs="Times New Roman"/>
          <w:sz w:val="22"/>
          <w:szCs w:val="22"/>
        </w:rPr>
        <w:t xml:space="preserve"> commands remains shocking, even when recognizing their rhetorical function.</w:t>
      </w:r>
    </w:p>
    <w:p w14:paraId="2DA062C8" w14:textId="77777777" w:rsidR="00CA4B28" w:rsidRPr="00850CC8" w:rsidRDefault="00CA4B28"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But moral tension is not moral contradiction. We can acknowledge real difficulty while maintaining that God’s actions were just. We can feel the weight of these narratives while trusting that God’s knowledge and judgment exceed our own. We can wrestle with these texts while believing they are Scripture, true and profitable for teaching.</w:t>
      </w:r>
    </w:p>
    <w:p w14:paraId="7CFA4F1F" w14:textId="77777777" w:rsidR="00CA4B28" w:rsidRPr="00850CC8" w:rsidRDefault="00CA4B28"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Most importantly, we read these texts in light of Christ, the ultimate revelation of God’s character and the ultimate expression of God’s justice. Jesus shows us that God’s preferred method is not conquest but cross, not judgment executed but judgment borne, not enemies destroyed but enemies reconciled through suffering love. The conquest narratives are part of the story, but they are not the climax. The climax is the empty tomb, where the violence that humans inflict is absorbed by divine love and transformed into redemption.</w:t>
      </w:r>
    </w:p>
    <w:p w14:paraId="29BA4882" w14:textId="77777777" w:rsidR="00CA4B28" w:rsidRPr="00850CC8" w:rsidRDefault="00CA4B28"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The same God who judged Canaan will judge all nations, including our own. The same God who showed mercy to Rahab shows mercy to all who seek him. The same God who waited four hundred years before acting waits still, patient with us, not willing that any should perish but that all should come to repentance. We may never fully answer every question these texts raise. But we can trust the character of the God who raises them, the God whose justice is perfect, whose mercy is boundless, whose patience is extraordinary, and whose ultimate answer to human evil is not conquest but the cross.</w:t>
      </w:r>
    </w:p>
    <w:p w14:paraId="6A7C5A99" w14:textId="77777777" w:rsidR="00CA4B28" w:rsidRPr="00850CC8" w:rsidRDefault="00CA4B28" w:rsidP="00850CC8">
      <w:pPr>
        <w:spacing w:before="480" w:after="200" w:line="276" w:lineRule="auto"/>
        <w:rPr>
          <w:rFonts w:ascii="Times New Roman" w:hAnsi="Times New Roman" w:cs="Times New Roman"/>
          <w:sz w:val="22"/>
          <w:szCs w:val="22"/>
        </w:rPr>
      </w:pPr>
      <w:r>
        <w:rPr>
          <w:rFonts w:ascii="Times New Roman" w:hAnsi="Times New Roman" w:cs="Times New Roman"/>
          <w:b/>
          <w:bCs/>
          <w:sz w:val="22"/>
          <w:szCs w:val="22"/>
        </w:rPr>
        <w:t>Notes</w:t>
      </w:r>
    </w:p>
    <w:p w14:paraId="3FAC8256" w14:textId="77777777" w:rsidR="00CA4B28" w:rsidRPr="00850CC8" w:rsidRDefault="00CA4B28" w:rsidP="00850CC8">
      <w:pPr>
        <w:spacing w:after="120" w:line="276" w:lineRule="auto"/>
        <w:ind w:left="360" w:hanging="360"/>
        <w:rPr>
          <w:rFonts w:ascii="Times New Roman" w:hAnsi="Times New Roman" w:cs="Times New Roman"/>
          <w:sz w:val="22"/>
          <w:szCs w:val="22"/>
        </w:rPr>
      </w:pPr>
      <w:r>
        <w:rPr>
          <w:rFonts w:ascii="Times New Roman" w:hAnsi="Times New Roman" w:cs="Times New Roman"/>
          <w:b/>
          <w:bCs/>
          <w:sz w:val="22"/>
          <w:szCs w:val="22"/>
        </w:rPr>
        <w:t>1. </w:t>
      </w:r>
      <w:r>
        <w:rPr>
          <w:rFonts w:ascii="Times New Roman" w:hAnsi="Times New Roman" w:cs="Times New Roman"/>
          <w:sz w:val="22"/>
          <w:szCs w:val="22"/>
        </w:rPr>
        <w:t xml:space="preserve">The language of “functional Marcionism” describes the practice, common in evangelical and mainline congregations alike, of treating the God revealed in the Hebrew Scriptures as a problem to be managed rather than as the Father of Jesus Christ. For a sustained critique, see R. W. L. Moberly, </w:t>
      </w:r>
      <w:r>
        <w:rPr>
          <w:rFonts w:ascii="Times New Roman" w:hAnsi="Times New Roman" w:cs="Times New Roman"/>
          <w:i/>
          <w:iCs/>
          <w:sz w:val="22"/>
          <w:szCs w:val="22"/>
        </w:rPr>
        <w:t xml:space="preserve">The </w:t>
        <w:lastRenderedPageBreak/>
        <w:t>Theology of the Book of Genesis</w:t>
      </w:r>
      <w:r>
        <w:rPr>
          <w:rFonts w:ascii="Times New Roman" w:hAnsi="Times New Roman" w:cs="Times New Roman"/>
          <w:sz w:val="22"/>
          <w:szCs w:val="22"/>
        </w:rPr>
        <w:t xml:space="preserve"> (Cambridge: Cambridge University Press, 2009), and Christopher J. H. Wright, </w:t>
      </w:r>
      <w:r>
        <w:rPr>
          <w:rFonts w:ascii="Times New Roman" w:hAnsi="Times New Roman" w:cs="Times New Roman"/>
          <w:i/>
          <w:iCs/>
          <w:sz w:val="22"/>
          <w:szCs w:val="22"/>
        </w:rPr>
        <w:t>Knowing Jesus through the Old Testament</w:t>
      </w:r>
      <w:r>
        <w:rPr>
          <w:rFonts w:ascii="Times New Roman" w:hAnsi="Times New Roman" w:cs="Times New Roman"/>
          <w:sz w:val="22"/>
          <w:szCs w:val="22"/>
        </w:rPr>
        <w:t xml:space="preserve"> (Downers Grove: InterVarsity, 1992). The framing of the conquest as a stress-test for the relational framework is indebted to the discussion of “test cases” in theological ethics in Oliver O’Donovan, </w:t>
      </w:r>
      <w:r>
        <w:rPr>
          <w:rFonts w:ascii="Times New Roman" w:hAnsi="Times New Roman" w:cs="Times New Roman"/>
          <w:i/>
          <w:iCs/>
          <w:sz w:val="22"/>
          <w:szCs w:val="22"/>
        </w:rPr>
        <w:t>Resurrection and Moral Order: An Outline for Evangelical Ethics</w:t>
      </w:r>
      <w:r>
        <w:rPr>
          <w:rFonts w:ascii="Times New Roman" w:hAnsi="Times New Roman" w:cs="Times New Roman"/>
          <w:sz w:val="22"/>
          <w:szCs w:val="22"/>
        </w:rPr>
        <w:t>, 2nd ed. (Grand Rapids: Eerdmans, 1994), 76–78.</w:t>
      </w:r>
    </w:p>
    <w:p w14:paraId="58110684" w14:textId="77777777" w:rsidR="00CA4B28" w:rsidRPr="00850CC8" w:rsidRDefault="00CA4B28" w:rsidP="00850CC8">
      <w:pPr>
        <w:spacing w:after="120" w:line="276" w:lineRule="auto"/>
        <w:ind w:left="360" w:hanging="360"/>
        <w:rPr>
          <w:rFonts w:ascii="Times New Roman" w:hAnsi="Times New Roman" w:cs="Times New Roman"/>
          <w:sz w:val="22"/>
          <w:szCs w:val="22"/>
        </w:rPr>
      </w:pPr>
      <w:r>
        <w:rPr>
          <w:rFonts w:ascii="Times New Roman" w:hAnsi="Times New Roman" w:cs="Times New Roman"/>
          <w:b/>
          <w:bCs/>
          <w:sz w:val="22"/>
          <w:szCs w:val="22"/>
        </w:rPr>
        <w:t>2. </w:t>
      </w:r>
      <w:r>
        <w:rPr>
          <w:rFonts w:ascii="Times New Roman" w:hAnsi="Times New Roman" w:cs="Times New Roman"/>
          <w:sz w:val="22"/>
          <w:szCs w:val="22"/>
        </w:rPr>
        <w:t xml:space="preserve">Richard Dawkins, </w:t>
      </w:r>
      <w:r>
        <w:rPr>
          <w:rFonts w:ascii="Times New Roman" w:hAnsi="Times New Roman" w:cs="Times New Roman"/>
          <w:i/>
          <w:iCs/>
          <w:sz w:val="22"/>
          <w:szCs w:val="22"/>
        </w:rPr>
        <w:t>The God Delusion</w:t>
      </w:r>
      <w:r>
        <w:rPr>
          <w:rFonts w:ascii="Times New Roman" w:hAnsi="Times New Roman" w:cs="Times New Roman"/>
          <w:sz w:val="22"/>
          <w:szCs w:val="22"/>
        </w:rPr>
        <w:t xml:space="preserve"> (Boston: Houghton Mifflin, 2006), 51. While Dawkins’s characterization ignores the broader biblical witness and misreads many texts, it captures the shock many readers feel when first encountering these passages, and the apologetic challenge it presents is real. For a sustained response that engages the philosophical arguments more carefully than Dawkins’s polemic deserves, see Alvin Plantinga, </w:t>
      </w:r>
      <w:r>
        <w:rPr>
          <w:rFonts w:ascii="Times New Roman" w:hAnsi="Times New Roman" w:cs="Times New Roman"/>
          <w:i/>
          <w:iCs/>
          <w:sz w:val="22"/>
          <w:szCs w:val="22"/>
        </w:rPr>
        <w:t>Where the Conflict Really Lies: Science, Religion, and Naturalism</w:t>
      </w:r>
      <w:r>
        <w:rPr>
          <w:rFonts w:ascii="Times New Roman" w:hAnsi="Times New Roman" w:cs="Times New Roman"/>
          <w:sz w:val="22"/>
          <w:szCs w:val="22"/>
        </w:rPr>
        <w:t xml:space="preserve"> (Oxford: Oxford University Press, 2011), 1–49.</w:t>
      </w:r>
    </w:p>
    <w:p w14:paraId="2033D7A9" w14:textId="77777777" w:rsidR="00CA4B28" w:rsidRPr="00850CC8" w:rsidRDefault="00CA4B28" w:rsidP="00850CC8">
      <w:pPr>
        <w:spacing w:after="120" w:line="276" w:lineRule="auto"/>
        <w:ind w:left="360" w:hanging="360"/>
        <w:rPr>
          <w:rFonts w:ascii="Times New Roman" w:hAnsi="Times New Roman" w:cs="Times New Roman"/>
          <w:sz w:val="22"/>
          <w:szCs w:val="22"/>
        </w:rPr>
      </w:pPr>
      <w:r>
        <w:rPr>
          <w:rFonts w:ascii="Times New Roman" w:hAnsi="Times New Roman" w:cs="Times New Roman"/>
          <w:b/>
          <w:bCs/>
          <w:sz w:val="22"/>
          <w:szCs w:val="22"/>
        </w:rPr>
        <w:t>3. </w:t>
      </w:r>
      <w:r>
        <w:rPr>
          <w:rFonts w:ascii="Times New Roman" w:hAnsi="Times New Roman" w:cs="Times New Roman"/>
          <w:sz w:val="22"/>
          <w:szCs w:val="22"/>
        </w:rPr>
        <w:t xml:space="preserve">For archaeological evidence of child sacrifice in Phoenician and Canaanite contexts, see Lawrence E. Stager and Samuel R. Wolff, “Child Sacrifice at Carthage: Religious Rite or Population Control?” </w:t>
      </w:r>
      <w:r>
        <w:rPr>
          <w:rFonts w:ascii="Times New Roman" w:hAnsi="Times New Roman" w:cs="Times New Roman"/>
          <w:i/>
          <w:iCs/>
          <w:sz w:val="22"/>
          <w:szCs w:val="22"/>
        </w:rPr>
        <w:t>Biblical Archaeology Review</w:t>
      </w:r>
      <w:r>
        <w:rPr>
          <w:rFonts w:ascii="Times New Roman" w:hAnsi="Times New Roman" w:cs="Times New Roman"/>
          <w:sz w:val="22"/>
          <w:szCs w:val="22"/>
        </w:rPr>
        <w:t xml:space="preserve"> 10, no. 1 (1984): 30–51. The interpretation of infant burials at tophet sites remains debated; for a recent reassessment, see Josephine Quinn et al., “Punishing the Punic: Reassessing the Evidence for Child Sacrifice in Carthage,” </w:t>
      </w:r>
      <w:r>
        <w:rPr>
          <w:rFonts w:ascii="Times New Roman" w:hAnsi="Times New Roman" w:cs="Times New Roman"/>
          <w:i/>
          <w:iCs/>
          <w:sz w:val="22"/>
          <w:szCs w:val="22"/>
        </w:rPr>
        <w:t>Antiquity</w:t>
      </w:r>
      <w:r>
        <w:rPr>
          <w:rFonts w:ascii="Times New Roman" w:hAnsi="Times New Roman" w:cs="Times New Roman"/>
          <w:sz w:val="22"/>
          <w:szCs w:val="22"/>
        </w:rPr>
        <w:t xml:space="preserve"> 94, no. 373 (2020): 222–240. Both biblical and classical textual sources consistently attest to child sacrifice practices in Canaanite religion regardless of the archaeological debates.</w:t>
      </w:r>
    </w:p>
    <w:p w14:paraId="7FE542D6" w14:textId="77777777" w:rsidR="00CA4B28" w:rsidRPr="00850CC8" w:rsidRDefault="00CA4B28" w:rsidP="00850CC8">
      <w:pPr>
        <w:spacing w:after="120" w:line="276" w:lineRule="auto"/>
        <w:ind w:left="360" w:hanging="360"/>
        <w:rPr>
          <w:rFonts w:ascii="Times New Roman" w:hAnsi="Times New Roman" w:cs="Times New Roman"/>
          <w:sz w:val="22"/>
          <w:szCs w:val="22"/>
        </w:rPr>
      </w:pPr>
      <w:r>
        <w:rPr>
          <w:rFonts w:ascii="Times New Roman" w:hAnsi="Times New Roman" w:cs="Times New Roman"/>
          <w:b/>
          <w:bCs/>
          <w:sz w:val="22"/>
          <w:szCs w:val="22"/>
        </w:rPr>
        <w:t>4. </w:t>
      </w:r>
      <w:r>
        <w:rPr>
          <w:rFonts w:ascii="Times New Roman" w:hAnsi="Times New Roman" w:cs="Times New Roman"/>
          <w:sz w:val="22"/>
          <w:szCs w:val="22"/>
        </w:rPr>
        <w:t xml:space="preserve">The connection between Romans 2:14–15 and the natural law accessible to all peoples is developed in chapter one above; see also the discussion in C. Stephen Evans, </w:t>
      </w:r>
      <w:r>
        <w:rPr>
          <w:rFonts w:ascii="Times New Roman" w:hAnsi="Times New Roman" w:cs="Times New Roman"/>
          <w:i/>
          <w:iCs/>
          <w:sz w:val="22"/>
          <w:szCs w:val="22"/>
        </w:rPr>
        <w:t>God and Moral Obligation</w:t>
      </w:r>
      <w:r>
        <w:rPr>
          <w:rFonts w:ascii="Times New Roman" w:hAnsi="Times New Roman" w:cs="Times New Roman"/>
          <w:sz w:val="22"/>
          <w:szCs w:val="22"/>
        </w:rPr>
        <w:t xml:space="preserve"> (Oxford: Oxford University Press, 2013), 47–78. The concept of degrees of relational proximity as calibrating the character of moral obligation is developed in chapter four above, drawing on Samuel Scheffler’s account of special obligations; see Scheffler, “Relationships and Responsibilities,” </w:t>
      </w:r>
      <w:r>
        <w:rPr>
          <w:rFonts w:ascii="Times New Roman" w:hAnsi="Times New Roman" w:cs="Times New Roman"/>
          <w:i/>
          <w:iCs/>
          <w:sz w:val="22"/>
          <w:szCs w:val="22"/>
        </w:rPr>
        <w:t>Philosophy and Public Affairs</w:t>
      </w:r>
      <w:r>
        <w:rPr>
          <w:rFonts w:ascii="Times New Roman" w:hAnsi="Times New Roman" w:cs="Times New Roman"/>
          <w:sz w:val="22"/>
          <w:szCs w:val="22"/>
        </w:rPr>
        <w:t xml:space="preserve"> 26, no. 3 (1997): 189–209.</w:t>
      </w:r>
    </w:p>
    <w:p w14:paraId="194200C8" w14:textId="77777777" w:rsidR="00CA4B28" w:rsidRPr="00850CC8" w:rsidRDefault="00CA4B28" w:rsidP="00850CC8">
      <w:pPr>
        <w:spacing w:after="120" w:line="276" w:lineRule="auto"/>
        <w:ind w:left="360" w:hanging="360"/>
        <w:rPr>
          <w:rFonts w:ascii="Times New Roman" w:hAnsi="Times New Roman" w:cs="Times New Roman"/>
          <w:sz w:val="22"/>
          <w:szCs w:val="22"/>
        </w:rPr>
      </w:pPr>
      <w:r>
        <w:rPr>
          <w:rFonts w:ascii="Times New Roman" w:hAnsi="Times New Roman" w:cs="Times New Roman"/>
          <w:b/>
          <w:bCs/>
          <w:sz w:val="22"/>
          <w:szCs w:val="22"/>
        </w:rPr>
        <w:t>5. </w:t>
      </w:r>
      <w:r>
        <w:rPr>
          <w:rFonts w:ascii="Times New Roman" w:hAnsi="Times New Roman" w:cs="Times New Roman"/>
          <w:sz w:val="22"/>
          <w:szCs w:val="22"/>
        </w:rPr>
        <w:t xml:space="preserve">K. Lawson Younger Jr., </w:t>
      </w:r>
      <w:r>
        <w:rPr>
          <w:rFonts w:ascii="Times New Roman" w:hAnsi="Times New Roman" w:cs="Times New Roman"/>
          <w:i/>
          <w:iCs/>
          <w:sz w:val="22"/>
          <w:szCs w:val="22"/>
        </w:rPr>
        <w:t>Ancient Conquest Accounts: A Study in Ancient Near Eastern and Biblical History Writing</w:t>
      </w:r>
      <w:r>
        <w:rPr>
          <w:rFonts w:ascii="Times New Roman" w:hAnsi="Times New Roman" w:cs="Times New Roman"/>
          <w:sz w:val="22"/>
          <w:szCs w:val="22"/>
        </w:rPr>
        <w:t xml:space="preserve"> (Sheffield: Sheffield Academic Press, 1990). Younger’s analysis demonstrates that Joshua’s conquest accounts follow conventional ancient Near Eastern patterns where hyperbolic claims of total victory serve theological and rhetorical purposes rather than providing literal historical description. For the Mesha Stele specifically, see Andrew Dearman, ed., </w:t>
      </w:r>
      <w:r>
        <w:rPr>
          <w:rFonts w:ascii="Times New Roman" w:hAnsi="Times New Roman" w:cs="Times New Roman"/>
          <w:i/>
          <w:iCs/>
          <w:sz w:val="22"/>
          <w:szCs w:val="22"/>
        </w:rPr>
        <w:t>Studies in the Mesha Inscription and Moab</w:t>
      </w:r>
      <w:r>
        <w:rPr>
          <w:rFonts w:ascii="Times New Roman" w:hAnsi="Times New Roman" w:cs="Times New Roman"/>
          <w:sz w:val="22"/>
          <w:szCs w:val="22"/>
        </w:rPr>
        <w:t xml:space="preserve"> (Atlanta: Scholars Press, 1989).</w:t>
      </w:r>
    </w:p>
    <w:p w14:paraId="1424C802" w14:textId="77777777" w:rsidR="00CA4B28" w:rsidRPr="00850CC8" w:rsidRDefault="00CA4B28" w:rsidP="00850CC8">
      <w:pPr>
        <w:spacing w:after="120" w:line="276" w:lineRule="auto"/>
        <w:ind w:left="360" w:hanging="360"/>
        <w:rPr>
          <w:rFonts w:ascii="Times New Roman" w:hAnsi="Times New Roman" w:cs="Times New Roman"/>
          <w:sz w:val="22"/>
          <w:szCs w:val="22"/>
        </w:rPr>
      </w:pPr>
      <w:r>
        <w:rPr>
          <w:rFonts w:ascii="Times New Roman" w:hAnsi="Times New Roman" w:cs="Times New Roman"/>
          <w:b/>
          <w:bCs/>
          <w:sz w:val="22"/>
          <w:szCs w:val="22"/>
        </w:rPr>
        <w:t>6. </w:t>
      </w:r>
      <w:r>
        <w:rPr>
          <w:rFonts w:ascii="Times New Roman" w:hAnsi="Times New Roman" w:cs="Times New Roman"/>
          <w:sz w:val="22"/>
          <w:szCs w:val="22"/>
        </w:rPr>
        <w:t xml:space="preserve">The “Majority Report” (swift, complete conquest) and “Minority Report” (incomplete conquest with Canaanite survival) represent two distinct literary-theological perspectives within Joshua–Judges. Their juxtaposition within the canon suggests Scripture itself acknowledges the complexity of the conquest history rather than presenting a single univocal account. See Paul Copan and Matthew Flannagan, </w:t>
      </w:r>
      <w:r>
        <w:rPr>
          <w:rFonts w:ascii="Times New Roman" w:hAnsi="Times New Roman" w:cs="Times New Roman"/>
          <w:i/>
          <w:iCs/>
          <w:sz w:val="22"/>
          <w:szCs w:val="22"/>
        </w:rPr>
        <w:t>Did God Really Command Genocide? Coming to Terms with the Justice of God</w:t>
      </w:r>
      <w:r>
        <w:rPr>
          <w:rFonts w:ascii="Times New Roman" w:hAnsi="Times New Roman" w:cs="Times New Roman"/>
          <w:sz w:val="22"/>
          <w:szCs w:val="22"/>
        </w:rPr>
        <w:t xml:space="preserve"> (Grand Rapids: Baker Books, 2014), 88–112, for the fullest recent treatment of this literary-theological duality.</w:t>
      </w:r>
    </w:p>
    <w:p w14:paraId="6219B5EA" w14:textId="77777777" w:rsidR="00CA4B28" w:rsidRPr="00850CC8" w:rsidRDefault="00CA4B28" w:rsidP="00850CC8">
      <w:pPr>
        <w:spacing w:after="120" w:line="276" w:lineRule="auto"/>
        <w:ind w:left="360" w:hanging="360"/>
        <w:rPr>
          <w:rFonts w:ascii="Times New Roman" w:hAnsi="Times New Roman" w:cs="Times New Roman"/>
          <w:sz w:val="22"/>
          <w:szCs w:val="22"/>
        </w:rPr>
      </w:pPr>
      <w:r>
        <w:rPr>
          <w:rFonts w:ascii="Times New Roman" w:hAnsi="Times New Roman" w:cs="Times New Roman"/>
          <w:b/>
          <w:bCs/>
          <w:sz w:val="22"/>
          <w:szCs w:val="22"/>
        </w:rPr>
        <w:t>7. </w:t>
      </w:r>
      <w:r>
        <w:rPr>
          <w:rFonts w:ascii="Times New Roman" w:hAnsi="Times New Roman" w:cs="Times New Roman"/>
          <w:sz w:val="22"/>
          <w:szCs w:val="22"/>
        </w:rPr>
        <w:t xml:space="preserve">The tension between corporate and individual conceptions of moral responsibility is a persistent theme in Old Testament ethics. For a careful account, see Christopher J. H. Wright, </w:t>
      </w:r>
      <w:r>
        <w:rPr>
          <w:rFonts w:ascii="Times New Roman" w:hAnsi="Times New Roman" w:cs="Times New Roman"/>
          <w:i/>
          <w:iCs/>
          <w:sz w:val="22"/>
          <w:szCs w:val="22"/>
        </w:rPr>
        <w:t>Old Testament Ethics for the People of God</w:t>
      </w:r>
      <w:r>
        <w:rPr>
          <w:rFonts w:ascii="Times New Roman" w:hAnsi="Times New Roman" w:cs="Times New Roman"/>
          <w:sz w:val="22"/>
          <w:szCs w:val="22"/>
        </w:rPr>
        <w:t xml:space="preserve"> (Downers Grove: InterVarsity, 2004), 53–76. The observation that corporate identity is a moral reality rather than a primitive confusion is supported by communitarian critiques of </w:t>
        <w:lastRenderedPageBreak/>
        <w:t xml:space="preserve">liberal individualism; see Alasdair MacIntyre, </w:t>
      </w:r>
      <w:r>
        <w:rPr>
          <w:rFonts w:ascii="Times New Roman" w:hAnsi="Times New Roman" w:cs="Times New Roman"/>
          <w:i/>
          <w:iCs/>
          <w:sz w:val="22"/>
          <w:szCs w:val="22"/>
        </w:rPr>
        <w:t>After Virtue</w:t>
      </w:r>
      <w:r>
        <w:rPr>
          <w:rFonts w:ascii="Times New Roman" w:hAnsi="Times New Roman" w:cs="Times New Roman"/>
          <w:sz w:val="22"/>
          <w:szCs w:val="22"/>
        </w:rPr>
        <w:t>, 3rd ed. (Notre Dame: University of Notre Dame Press, 2007), 204–225.</w:t>
      </w:r>
    </w:p>
    <w:p w14:paraId="0F64ACE6" w14:textId="77777777" w:rsidR="00CA4B28" w:rsidRPr="00850CC8" w:rsidRDefault="00CA4B28" w:rsidP="00850CC8">
      <w:pPr>
        <w:spacing w:after="120" w:line="276" w:lineRule="auto"/>
        <w:ind w:left="360" w:hanging="360"/>
        <w:rPr>
          <w:rFonts w:ascii="Times New Roman" w:hAnsi="Times New Roman" w:cs="Times New Roman"/>
          <w:sz w:val="22"/>
          <w:szCs w:val="22"/>
        </w:rPr>
      </w:pPr>
      <w:r>
        <w:rPr>
          <w:rFonts w:ascii="Times New Roman" w:hAnsi="Times New Roman" w:cs="Times New Roman"/>
          <w:b/>
          <w:bCs/>
          <w:sz w:val="22"/>
          <w:szCs w:val="22"/>
        </w:rPr>
        <w:t>8. </w:t>
      </w:r>
      <w:r>
        <w:rPr>
          <w:rFonts w:ascii="Times New Roman" w:hAnsi="Times New Roman" w:cs="Times New Roman"/>
          <w:sz w:val="22"/>
          <w:szCs w:val="22"/>
        </w:rPr>
        <w:t xml:space="preserve">The theological principle that children who die before moral accountability are received into God’s mercy has support from passages such as 2 Samuel 12:23 (David’s confidence that he will see his deceased infant son again) and Jesus’s teaching that the kingdom belongs to little children (Matthew 19:14). The argument advanced here is deliberately limited and tentative: it does not claim certainty about the eternal destiny of all children who die in infancy but suggests that divine judgment, even when it includes children, may involve a mercy not immediately apparent to us. For a theological account of the salvation of those who die in infancy, see Wayne Grudem, </w:t>
      </w:r>
      <w:r>
        <w:rPr>
          <w:rFonts w:ascii="Times New Roman" w:hAnsi="Times New Roman" w:cs="Times New Roman"/>
          <w:i/>
          <w:iCs/>
          <w:sz w:val="22"/>
          <w:szCs w:val="22"/>
        </w:rPr>
        <w:t>Systematic Theology</w:t>
      </w:r>
      <w:r>
        <w:rPr>
          <w:rFonts w:ascii="Times New Roman" w:hAnsi="Times New Roman" w:cs="Times New Roman"/>
          <w:sz w:val="22"/>
          <w:szCs w:val="22"/>
        </w:rPr>
        <w:t>, 2nd ed. (Grand Rapids: Zondervan, 2020), 693–697.</w:t>
      </w:r>
    </w:p>
    <w:p w14:paraId="2449B3B2" w14:textId="77777777" w:rsidR="00CA4B28" w:rsidRPr="00850CC8" w:rsidRDefault="00CA4B28" w:rsidP="00850CC8">
      <w:pPr>
        <w:spacing w:after="120" w:line="276" w:lineRule="auto"/>
        <w:ind w:left="360" w:hanging="360"/>
        <w:rPr>
          <w:rFonts w:ascii="Times New Roman" w:hAnsi="Times New Roman" w:cs="Times New Roman"/>
          <w:sz w:val="22"/>
          <w:szCs w:val="22"/>
        </w:rPr>
      </w:pPr>
      <w:r>
        <w:rPr>
          <w:rFonts w:ascii="Times New Roman" w:hAnsi="Times New Roman" w:cs="Times New Roman"/>
          <w:b/>
          <w:bCs/>
          <w:sz w:val="22"/>
          <w:szCs w:val="22"/>
        </w:rPr>
        <w:t>9. </w:t>
      </w:r>
      <w:r>
        <w:rPr>
          <w:rFonts w:ascii="Times New Roman" w:hAnsi="Times New Roman" w:cs="Times New Roman"/>
          <w:sz w:val="22"/>
          <w:szCs w:val="22"/>
        </w:rPr>
        <w:t xml:space="preserve">William G. Dever, </w:t>
      </w:r>
      <w:r>
        <w:rPr>
          <w:rFonts w:ascii="Times New Roman" w:hAnsi="Times New Roman" w:cs="Times New Roman"/>
          <w:i/>
          <w:iCs/>
          <w:sz w:val="22"/>
          <w:szCs w:val="22"/>
        </w:rPr>
        <w:t>Who Were the Early Israelites and Where Did They Come From?</w:t>
      </w:r>
      <w:r>
        <w:rPr>
          <w:rFonts w:ascii="Times New Roman" w:hAnsi="Times New Roman" w:cs="Times New Roman"/>
          <w:sz w:val="22"/>
          <w:szCs w:val="22"/>
        </w:rPr>
        <w:t xml:space="preserve"> (Grand Rapids: Eerdmans, 2003). Dever argues that archaeological evidence shows destruction of some Canaanite cities during the relevant period but does not support a picture of systematic genocide. The pattern is consistent with military campaigns against fortified cities rather than deliberate targeting of civilian populations. See also Israel Finkelstein and Neil Asher Silberman, </w:t>
      </w:r>
      <w:r>
        <w:rPr>
          <w:rFonts w:ascii="Times New Roman" w:hAnsi="Times New Roman" w:cs="Times New Roman"/>
          <w:i/>
          <w:iCs/>
          <w:sz w:val="22"/>
          <w:szCs w:val="22"/>
        </w:rPr>
        <w:t>The Bible Unearthed: Archaeology’s New Vision of Ancient Israel and the Origin of Its Sacred Texts</w:t>
      </w:r>
      <w:r>
        <w:rPr>
          <w:rFonts w:ascii="Times New Roman" w:hAnsi="Times New Roman" w:cs="Times New Roman"/>
          <w:sz w:val="22"/>
          <w:szCs w:val="22"/>
        </w:rPr>
        <w:t xml:space="preserve"> (New York: Free Press, 2001), 72–96, for the broader archaeological context, noting that their conclusions about the literary nature of the conquest accounts, while pressed further than the evidence strictly requires, are useful for distinguishing rhetorical from literal readings.</w:t>
      </w:r>
    </w:p>
    <w:p w14:paraId="3A7F79B9" w14:textId="77777777" w:rsidR="00CA4B28" w:rsidRPr="00850CC8" w:rsidRDefault="00CA4B28" w:rsidP="00850CC8">
      <w:pPr>
        <w:spacing w:after="120" w:line="276" w:lineRule="auto"/>
        <w:ind w:left="360" w:hanging="360"/>
        <w:rPr>
          <w:rFonts w:ascii="Times New Roman" w:hAnsi="Times New Roman" w:cs="Times New Roman"/>
          <w:sz w:val="22"/>
          <w:szCs w:val="22"/>
        </w:rPr>
      </w:pPr>
      <w:r>
        <w:rPr>
          <w:rFonts w:ascii="Times New Roman" w:hAnsi="Times New Roman" w:cs="Times New Roman"/>
          <w:b/>
          <w:bCs/>
          <w:sz w:val="22"/>
          <w:szCs w:val="22"/>
        </w:rPr>
        <w:t>10. </w:t>
      </w:r>
      <w:r>
        <w:rPr>
          <w:rFonts w:ascii="Times New Roman" w:hAnsi="Times New Roman" w:cs="Times New Roman"/>
          <w:sz w:val="22"/>
          <w:szCs w:val="22"/>
        </w:rPr>
        <w:t xml:space="preserve">Christopher J. H. Wright, </w:t>
      </w:r>
      <w:r>
        <w:rPr>
          <w:rFonts w:ascii="Times New Roman" w:hAnsi="Times New Roman" w:cs="Times New Roman"/>
          <w:i/>
          <w:iCs/>
          <w:sz w:val="22"/>
          <w:szCs w:val="22"/>
        </w:rPr>
        <w:t>The God I Don’t Understand: Reflections on Tough Questions of Faith</w:t>
      </w:r>
      <w:r>
        <w:rPr>
          <w:rFonts w:ascii="Times New Roman" w:hAnsi="Times New Roman" w:cs="Times New Roman"/>
          <w:sz w:val="22"/>
          <w:szCs w:val="22"/>
        </w:rPr>
        <w:t xml:space="preserve"> (Grand Rapids: Zondervan, 2008), 73–108. Wright develops the trajectory from Old Testament judgment through human agency to New Testament judgment reserved for God’s final action, arguing that the progressive nature of revelation helps us understand why conquest warfare was commanded at one stage but superseded in Christ. For the ecclesiological dimension of the argument, the distinction between Israel as theocratic nation and the church as transnational community, see N. T. Wright, </w:t>
      </w:r>
      <w:r>
        <w:rPr>
          <w:rFonts w:ascii="Times New Roman" w:hAnsi="Times New Roman" w:cs="Times New Roman"/>
          <w:i/>
          <w:iCs/>
          <w:sz w:val="22"/>
          <w:szCs w:val="22"/>
        </w:rPr>
        <w:t>The New Testament and the People of God</w:t>
      </w:r>
      <w:r>
        <w:rPr>
          <w:rFonts w:ascii="Times New Roman" w:hAnsi="Times New Roman" w:cs="Times New Roman"/>
          <w:sz w:val="22"/>
          <w:szCs w:val="22"/>
        </w:rPr>
        <w:t xml:space="preserve"> (Minneapolis: Fortress, 1992), 215–243.</w:t>
      </w:r>
    </w:p>
    <w:p w14:paraId="58B2FE1F" w14:textId="77777777" w:rsidR="00804355" w:rsidRPr="00850CC8" w:rsidRDefault="00804355" w:rsidP="00850CC8">
      <w:pPr>
        <w:pStyle w:val="Heading1"/>
        <w:spacing w:after="120" w:line="276" w:lineRule="auto"/>
        <w:jc w:val="center"/>
        <w:rPr>
          <w:rFonts w:ascii="Times New Roman" w:hAnsi="Times New Roman" w:cs="Times New Roman"/>
          <w:sz w:val="22"/>
          <w:szCs w:val="22"/>
        </w:rPr>
      </w:pPr>
      <w:bookmarkStart w:id="22" w:name="_Toc228335828"/>
      <w:r>
        <w:rPr>
          <w:rFonts w:ascii="Times New Roman" w:hAnsi="Times New Roman" w:cs="Times New Roman"/>
          <w:sz w:val="22"/>
          <w:szCs w:val="22"/>
        </w:rPr>
        <w:t>Chapter Nine</w:t>
      </w:r>
      <w:bookmarkEnd w:id="22"/>
    </w:p>
    <w:p w14:paraId="65CBCD57" w14:textId="77777777" w:rsidR="00804355" w:rsidRPr="00850CC8" w:rsidRDefault="00804355" w:rsidP="00850CC8">
      <w:pPr>
        <w:pStyle w:val="Heading1"/>
        <w:spacing w:after="320" w:line="276" w:lineRule="auto"/>
        <w:jc w:val="center"/>
        <w:rPr>
          <w:rFonts w:ascii="Times New Roman" w:hAnsi="Times New Roman" w:cs="Times New Roman"/>
          <w:sz w:val="22"/>
          <w:szCs w:val="22"/>
        </w:rPr>
      </w:pPr>
      <w:bookmarkStart w:id="23" w:name="_Toc228335829"/>
      <w:r>
        <w:rPr>
          <w:rFonts w:ascii="Times New Roman" w:hAnsi="Times New Roman" w:cs="Times New Roman"/>
          <w:sz w:val="22"/>
          <w:szCs w:val="22"/>
        </w:rPr>
        <w:t>The Flood: Divine Judgment, Human Corruption, and the Limits of Patience</w:t>
      </w:r>
      <w:bookmarkEnd w:id="23"/>
    </w:p>
    <w:p w14:paraId="569179E4" w14:textId="77777777" w:rsidR="00804355" w:rsidRPr="00850CC8" w:rsidRDefault="00804355"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The preceding chapter tested the relational framework against the conquest narratives, where divine judgment operated within a specific covenant context and through identifiable human agents. The Flood presents a starker case. Here there is no covenant, no Torah, no Israel, no established relational proximity of the kind the preceding argument has been developing. There is only the God whose inner life is constituted by perichoretic self-giving love, a creation made to bear the image of that love, and a humanity that had, as the narrative presents it, comprehensively rejected both.</w:t>
      </w:r>
    </w:p>
    <w:p w14:paraId="25FE0043" w14:textId="77777777" w:rsidR="00804355" w:rsidRPr="00850CC8" w:rsidRDefault="00804355"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 xml:space="preserve">The argument of this book has moved consistently from the character of the triune God outward into the structure of moral obligation. The prior love of 1 John 4:19, the self-giving that precedes and constitutes every human capacity for love, is not merely a devotional observation. It is the ontological ground of moral reality. When that prior love is persistently refused, when the image-bearers who were made for responsive relation have systematically reoriented themselves against every norm of the shalom God built into creation’s order, the question that arises is not primarily about the justice of divine </w:t>
        <w:lastRenderedPageBreak/>
        <w:t>judgment. It is about the nature of love itself. Can a love that is truly prior, truly constitutive of all that is good, simply allow the comprehensive destruction of what it made? The Flood narrative answers that question, and the answer is harder and more merciful than it first appears.</w:t>
      </w:r>
    </w:p>
    <w:p w14:paraId="1C5CDB6A" w14:textId="77777777" w:rsidR="00804355" w:rsidRPr="00850CC8" w:rsidRDefault="00804355"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Enriched by contemporary biblical scholarship and read through the lens of Christ’s victory over evil, the Flood narrative reveals the same pattern traced throughout the preceding chapters: a God whose fundamental inclination is toward mercy and patience, whose grief over judgment is real, who preserves remnants even in comprehensive judgment, and who commits himself to working redemptively within creation’s continuing brokenness rather than repeating such catastrophic response.</w:t>
      </w:r>
      <w:r>
        <w:rPr>
          <w:rFonts w:ascii="Times New Roman" w:hAnsi="Times New Roman" w:cs="Times New Roman"/>
          <w:sz w:val="22"/>
          <w:szCs w:val="22"/>
          <w:vertAlign w:val="superscript"/>
        </w:rPr>
        <w:t>1</w:t>
      </w:r>
    </w:p>
    <w:p w14:paraId="315A3984" w14:textId="77777777" w:rsidR="00804355" w:rsidRPr="00850CC8" w:rsidRDefault="00804355"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If the conquest narratives represent perhaps the most debated instance of divine violence in Scripture, the Flood represents the most comprehensive. Here we confront destruction described in hyperbolic, universal terms: waters covering the earth, nearly all life perishing, one family and the creatures they preserved remaining when the waters recede. For many readers, ancient and modern, the Flood narrative poses the ultimate challenge to belief in a God of love.</w:t>
      </w:r>
    </w:p>
    <w:p w14:paraId="6D5D45C8" w14:textId="77777777" w:rsidR="00804355" w:rsidRPr="00850CC8" w:rsidRDefault="00804355"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The objections are forceful and deeply felt. If God is omnipotent, why resort to such catastrophic means? If he is omniscient, why create beings he knew would become so corrupted? If he is love, how can we reconcile that with the drowning of children, animals, and presumably many who were simply caught up in general wickedness without being its worst perpetrators? Bertrand Russell declared that he could not think a person of real kindness would have put fears and terrors of that sort into the world.</w:t>
      </w:r>
      <w:r>
        <w:rPr>
          <w:rFonts w:ascii="Times New Roman" w:hAnsi="Times New Roman" w:cs="Times New Roman"/>
          <w:sz w:val="22"/>
          <w:szCs w:val="22"/>
          <w:vertAlign w:val="superscript"/>
        </w:rPr>
        <w:t>2</w:t>
      </w:r>
      <w:r>
        <w:rPr>
          <w:rFonts w:ascii="Times New Roman" w:hAnsi="Times New Roman" w:cs="Times New Roman"/>
          <w:sz w:val="22"/>
          <w:szCs w:val="22"/>
        </w:rPr>
        <w:t xml:space="preserve"> The Flood narrative, for critics, exemplifies divine cruelty at its most extreme.</w:t>
      </w:r>
    </w:p>
    <w:p w14:paraId="2E4AF8C7" w14:textId="77777777" w:rsidR="00804355" w:rsidRPr="00850CC8" w:rsidRDefault="00804355"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This chapter will examine the Flood through relational, literary, and Christological lenses, showing how it functions as theological commentary on divine judgment that points beyond itself to God’s ultimate solution in Christ. As with the conquest narratives, we will find no easy answers. But we will find coherent answers, answers that take seriously both the moral weight of the text and the broader biblical witness to God’s character culminating in the cross and resurrection.</w:t>
      </w:r>
    </w:p>
    <w:p w14:paraId="0D36AC29" w14:textId="77777777" w:rsidR="00804355" w:rsidRPr="00850CC8" w:rsidRDefault="00804355" w:rsidP="00850CC8">
      <w:pPr>
        <w:pStyle w:val="Heading2"/>
        <w:spacing w:line="276" w:lineRule="auto"/>
        <w:rPr>
          <w:rFonts w:ascii="Times New Roman" w:hAnsi="Times New Roman" w:cs="Times New Roman"/>
          <w:sz w:val="22"/>
          <w:szCs w:val="22"/>
        </w:rPr>
      </w:pPr>
      <w:bookmarkStart w:id="24" w:name="_Toc228335830"/>
      <w:r>
        <w:rPr>
          <w:rFonts w:ascii="Times New Roman" w:hAnsi="Times New Roman" w:cs="Times New Roman"/>
          <w:sz w:val="22"/>
          <w:szCs w:val="22"/>
        </w:rPr>
        <w:t>The Narrative and Its Context: Shalom Shattered</w:t>
      </w:r>
      <w:bookmarkEnd w:id="24"/>
    </w:p>
    <w:p w14:paraId="05774769" w14:textId="77777777" w:rsidR="00804355" w:rsidRPr="00850CC8" w:rsidRDefault="00804355"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Understanding the Flood requires first understanding what preceded it, both in the immediate narrative context and in the larger framework of Genesis 1–11. These opening chapters present what Matthew Lynch helpfully frames as “shalom in creation’s DNA.”</w:t>
      </w:r>
      <w:r>
        <w:rPr>
          <w:rFonts w:ascii="Times New Roman" w:hAnsi="Times New Roman" w:cs="Times New Roman"/>
          <w:sz w:val="22"/>
          <w:szCs w:val="22"/>
          <w:vertAlign w:val="superscript"/>
        </w:rPr>
        <w:t>3</w:t>
      </w:r>
      <w:r>
        <w:rPr>
          <w:rFonts w:ascii="Times New Roman" w:hAnsi="Times New Roman" w:cs="Times New Roman"/>
          <w:sz w:val="22"/>
          <w:szCs w:val="22"/>
        </w:rPr>
        <w:t xml:space="preserve"> Genesis 1–2 establishes comprehensive peace, wholeness, and right-relating as the baseline reality that God intended for his world. The careful order of creation, the blessing of life, the provision of food, the harmony between humanity and creation, the intimacy of God walking with his image-bearers: this is shalom, and it is normative. Violence, corruption, and death are not part of God’s original design; they are deviations requiring explanation and remedy.</w:t>
      </w:r>
    </w:p>
    <w:p w14:paraId="4BFB488E" w14:textId="77777777" w:rsidR="00804355" w:rsidRPr="00850CC8" w:rsidRDefault="00804355"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Against this backdrop of intended shalom, Genesis 3–11 narrates the progressive shattering of peace. The Fall brings death, shame, and exile. Cain’s murder of Abel introduces bloodshed. Lamech’s boast reveals escalating violence and the corruption of marriage relationships. By Genesis 6, this trajectory has reached its terrible culmination. The narrative does not present the Flood as arbitrary divine action but as response to comprehensive shattering of creation’s peace, a condition that had reached crisis proportions.</w:t>
      </w:r>
    </w:p>
    <w:p w14:paraId="021B5F62" w14:textId="77777777" w:rsidR="00804355" w:rsidRPr="00850CC8" w:rsidRDefault="00804355"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lastRenderedPageBreak/>
        <w:t>The text describes this condition in language that is both specific and comprehensive: “The LORD saw that the wickedness of man was great in the earth, and that every intention of the thoughts of his heart was only evil continually. And the LORD regretted that he had made man on the earth, and it grieved him to his heart” (Genesis 6:5–6, ESV). This is not merely widespread sin; it is portrayed as totality of corruption. The Hebrew emphasizes completeness: every intention, only evil, continually. The text presents a civilization where evil had become not an exception but the norm, not an occasional lapse but the constant state of human thought and action. The shalom of Genesis 1–2 had been completely inverted.</w:t>
      </w:r>
    </w:p>
    <w:p w14:paraId="6F26E660" w14:textId="77777777" w:rsidR="00804355" w:rsidRPr="00850CC8" w:rsidRDefault="00804355"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The text adds a crucial detail: “Now the earth was corrupt in God’s sight, and the earth was filled with violence” (Genesis 6:11). The Hebrew word for “violence” (</w:t>
      </w:r>
      <w:r>
        <w:rPr>
          <w:rFonts w:ascii="Times New Roman" w:hAnsi="Times New Roman" w:cs="Times New Roman"/>
          <w:i/>
          <w:iCs/>
          <w:sz w:val="22"/>
          <w:szCs w:val="22"/>
        </w:rPr>
        <w:t>hamas</w:t>
      </w:r>
      <w:r>
        <w:rPr>
          <w:rFonts w:ascii="Times New Roman" w:hAnsi="Times New Roman" w:cs="Times New Roman"/>
          <w:sz w:val="22"/>
          <w:szCs w:val="22"/>
        </w:rPr>
        <w:t>) denotes wrongdoing, cruelty, and injustice, particularly violence that tears at the fabric of society.</w:t>
      </w:r>
      <w:r>
        <w:rPr>
          <w:rFonts w:ascii="Times New Roman" w:hAnsi="Times New Roman" w:cs="Times New Roman"/>
          <w:sz w:val="22"/>
          <w:szCs w:val="22"/>
          <w:vertAlign w:val="superscript"/>
        </w:rPr>
        <w:t>4</w:t>
      </w:r>
      <w:r>
        <w:rPr>
          <w:rFonts w:ascii="Times New Roman" w:hAnsi="Times New Roman" w:cs="Times New Roman"/>
          <w:sz w:val="22"/>
          <w:szCs w:val="22"/>
        </w:rPr>
        <w:t xml:space="preserve"> This was not abstract evil but concrete harm: people were systematically destroying one another. The corruption had become self-perpetuating, with each generation teaching the next that violence and wickedness were simply how humans lived. The three forms of violence Lynch identifies in Genesis 3–11, domestic, military, and political, all represent departures from creation’s shalom that compound upon one another across generations.</w:t>
      </w:r>
    </w:p>
    <w:p w14:paraId="4260DE6C" w14:textId="77777777" w:rsidR="00804355" w:rsidRPr="00850CC8" w:rsidRDefault="00804355"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The preceding context (6:1–4) presents an enigmatic prologue involving the “sons of God” and the Nephilim. Whether understood as divine beings transgressing appointed boundaries or as a metaphorical description of social breakdown, this detail suggests the corruption requiring judgment was not merely terrestrial but had infected the structures of the created order itself. The Flood narrative hints at a cosmic scope: the problem was not just human wickedness but comprehensive breakdown affecting heaven and earth alike.</w:t>
      </w:r>
    </w:p>
    <w:p w14:paraId="1941B538" w14:textId="77777777" w:rsidR="00804355" w:rsidRPr="00850CC8" w:rsidRDefault="00804355"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Critically, this condition did not develop overnight. Genesis 6:3 reveals that God had been actively engaged throughout this decline: “My Spirit shall not abide in man forever, for he is flesh: his days shall be 120 years.” The precise meaning is debated, but either reading confirms the same point: God had been striving with humanity, his Spirit “contending” with human evil. This was not sudden judgment but judgment that came only after extended divine patience. God’s inclination toward mercy and restoration remained operative even as humanity systematically rejected it.</w:t>
      </w:r>
    </w:p>
    <w:p w14:paraId="08D1F2F9" w14:textId="77777777" w:rsidR="00804355" w:rsidRPr="00850CC8" w:rsidRDefault="00804355" w:rsidP="00850CC8">
      <w:pPr>
        <w:spacing w:before="240" w:after="120" w:line="276" w:lineRule="auto"/>
        <w:rPr>
          <w:rFonts w:ascii="Times New Roman" w:hAnsi="Times New Roman" w:cs="Times New Roman"/>
          <w:sz w:val="22"/>
          <w:szCs w:val="22"/>
        </w:rPr>
      </w:pPr>
      <w:r>
        <w:rPr>
          <w:rFonts w:ascii="Times New Roman" w:hAnsi="Times New Roman" w:cs="Times New Roman"/>
          <w:b/>
          <w:bCs/>
          <w:sz w:val="22"/>
          <w:szCs w:val="22"/>
        </w:rPr>
        <w:t>The Ancient Near Eastern Literary Context</w:t>
      </w:r>
    </w:p>
    <w:p w14:paraId="7962F4D3" w14:textId="77777777" w:rsidR="00804355" w:rsidRPr="00850CC8" w:rsidRDefault="00804355"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The Flood narrative shares striking parallels with other ancient Mesopotamian flood stories, particularly the Epic of Gilgamesh.</w:t>
      </w:r>
      <w:r>
        <w:rPr>
          <w:rFonts w:ascii="Times New Roman" w:hAnsi="Times New Roman" w:cs="Times New Roman"/>
          <w:sz w:val="22"/>
          <w:szCs w:val="22"/>
          <w:vertAlign w:val="superscript"/>
        </w:rPr>
        <w:t>5</w:t>
      </w:r>
      <w:r>
        <w:rPr>
          <w:rFonts w:ascii="Times New Roman" w:hAnsi="Times New Roman" w:cs="Times New Roman"/>
          <w:sz w:val="22"/>
          <w:szCs w:val="22"/>
        </w:rPr>
        <w:t xml:space="preserve"> The parallels include a divinely sent flood, a righteous man warned in advance, an ark built to preserve life, birds sent out to test for dry land, and a sacrifice offered after the waters recede. These similarities suggest either a common historical memory of an ancient catastrophic flood event or a shared literary tradition drawing on flood motifs to communicate theological truth about divine judgment and human evil.</w:t>
      </w:r>
    </w:p>
    <w:p w14:paraId="64572F99" w14:textId="77777777" w:rsidR="00804355" w:rsidRPr="00850CC8" w:rsidRDefault="00804355"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But the differences are equally significant and reveal Genesis’s distinctive theological vision. In Gilgamesh, the gods send the flood essentially on a whim, disturbed by human noise and deciding to eliminate humanity. The hero is saved because one god warns him, acting against the other gods’ wishes. There is no moral dimension to the judgment; it is arbitrary divine action. Genesis, by contrast, carefully establishes the moral basis: human evil had reached totality, and the shalom of creation had been comprehensively violated.</w:t>
      </w:r>
    </w:p>
    <w:p w14:paraId="7FC9DE9D" w14:textId="77777777" w:rsidR="00804355" w:rsidRPr="00850CC8" w:rsidRDefault="00804355"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lastRenderedPageBreak/>
        <w:t>Moreover, the Genesis account emphasizes God’s grief and his preservation of a remnant precisely to enable new beginnings and the restoration of shalom. Where Gilgamesh presents capricious gods who regret their action only because they miss human worship, Genesis presents a God who sorrows over the necessity of judgment and immediately commits to never repeating it. The biblical account transforms the common ancient Near Eastern flood motif into a theological statement about divine justice, mercy, and covenant commitment to creation’s ultimate flourishing.</w:t>
      </w:r>
    </w:p>
    <w:p w14:paraId="7E6E2BA9" w14:textId="77777777" w:rsidR="00804355" w:rsidRPr="00850CC8" w:rsidRDefault="00804355"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This literary context matters profoundly for interpretation. Scripture often presents both a “majority report” (hyperbolic, universal language of total destruction) and a “minority report” (qualified accounts that reflect historical complexity).</w:t>
      </w:r>
      <w:r>
        <w:rPr>
          <w:rFonts w:ascii="Times New Roman" w:hAnsi="Times New Roman" w:cs="Times New Roman"/>
          <w:sz w:val="22"/>
          <w:szCs w:val="22"/>
          <w:vertAlign w:val="superscript"/>
        </w:rPr>
        <w:t>6</w:t>
      </w:r>
      <w:r>
        <w:rPr>
          <w:rFonts w:ascii="Times New Roman" w:hAnsi="Times New Roman" w:cs="Times New Roman"/>
          <w:sz w:val="22"/>
          <w:szCs w:val="22"/>
        </w:rPr>
        <w:t xml:space="preserve"> Like the conquest narratives that employ ancient Near Eastern warfare rhetoric, language of “all,” “every,” and “total destruction” that ancient audiences understood as conventional expressions of thoroughness, the Flood narrative may employ the universal language of ancient cosmology to communicate theological truth about comprehensive judgment rather than to provide scientific or historical description of global extent.</w:t>
      </w:r>
    </w:p>
    <w:p w14:paraId="638DF1B2" w14:textId="77777777" w:rsidR="00804355" w:rsidRPr="00850CC8" w:rsidRDefault="00804355"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Whether the historical referent was a regional catastrophic flood remembered and theologized in universal terms, a more limited local judgment, or something else entirely, the text’s theological claim remains consistent and powerful: comprehensive shattering of shalom through persistent evil requires divine response; God’s fundamental orientation is toward preservation and restoration of shalom even in judgment; and God commits himself to ongoing relationship with creation despite its continuing fallenness.</w:t>
      </w:r>
      <w:r>
        <w:rPr>
          <w:rFonts w:ascii="Times New Roman" w:hAnsi="Times New Roman" w:cs="Times New Roman"/>
          <w:sz w:val="22"/>
          <w:szCs w:val="22"/>
          <w:vertAlign w:val="superscript"/>
        </w:rPr>
        <w:t>7</w:t>
      </w:r>
    </w:p>
    <w:p w14:paraId="577E2AE1" w14:textId="77777777" w:rsidR="00804355" w:rsidRPr="00850CC8" w:rsidRDefault="00804355" w:rsidP="00850CC8">
      <w:pPr>
        <w:pStyle w:val="Heading2"/>
        <w:spacing w:line="276" w:lineRule="auto"/>
        <w:rPr>
          <w:rFonts w:ascii="Times New Roman" w:hAnsi="Times New Roman" w:cs="Times New Roman"/>
          <w:sz w:val="22"/>
          <w:szCs w:val="22"/>
        </w:rPr>
      </w:pPr>
      <w:bookmarkStart w:id="25" w:name="_Toc228335831"/>
      <w:r>
        <w:rPr>
          <w:rFonts w:ascii="Times New Roman" w:hAnsi="Times New Roman" w:cs="Times New Roman"/>
          <w:sz w:val="22"/>
          <w:szCs w:val="22"/>
        </w:rPr>
        <w:t>The Theological Function: Uncreation and Recreation</w:t>
      </w:r>
      <w:bookmarkEnd w:id="25"/>
    </w:p>
    <w:p w14:paraId="1E3FE530" w14:textId="77777777" w:rsidR="00804355" w:rsidRPr="00850CC8" w:rsidRDefault="00804355"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The Flood narrative is carefully structured to mirror the creation account of Genesis 1, but in reverse. Where Genesis 1 describes God separating waters to create dry land and habitable space for life, Genesis 6–9 describes waters returning to cover the earth, collapsing the created order back into chaos. This is not merely literary artistry; it is theological commentary.</w:t>
      </w:r>
      <w:r>
        <w:rPr>
          <w:rFonts w:ascii="Times New Roman" w:hAnsi="Times New Roman" w:cs="Times New Roman"/>
          <w:sz w:val="22"/>
          <w:szCs w:val="22"/>
          <w:vertAlign w:val="superscript"/>
        </w:rPr>
        <w:t>8</w:t>
      </w:r>
      <w:r>
        <w:rPr>
          <w:rFonts w:ascii="Times New Roman" w:hAnsi="Times New Roman" w:cs="Times New Roman"/>
          <w:sz w:val="22"/>
          <w:szCs w:val="22"/>
        </w:rPr>
        <w:t xml:space="preserve"> The Flood functions as uncreation, a divine undoing of what had been made, followed by recreation, a fresh attempt to restore shalom from the remnant preserved in the ark.</w:t>
      </w:r>
    </w:p>
    <w:p w14:paraId="1448280D" w14:textId="77777777" w:rsidR="00804355" w:rsidRPr="00850CC8" w:rsidRDefault="00804355"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The mechanisms described are not random meteorological events but a deliberate reversal of creation’s architecture. The “fountains of the great deep” burst forth (Genesis 7:11), allowing the chaotic waters below the firmament to reclaim the land, while the “windows of the heavens” opened, collapsing the barrier that held back the waters above (Genesis 1:6–8). The careful order of Genesis 1 was systematically deconstructed. This uncreation-recreation pattern reveals something crucial about how the narrative presents divine judgment: not primarily as punitive but as restorative. God was not destroying creation out of vindictive anger but was removing the corruption that threatened shalom itself, preparing the way for a fresh beginning.</w:t>
      </w:r>
    </w:p>
    <w:p w14:paraId="2F352462" w14:textId="77777777" w:rsidR="00804355" w:rsidRPr="00850CC8" w:rsidRDefault="00804355"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As Jon Levenson has argued, the Flood narrative presents creation as an ongoing divine project that requires God’s active maintenance against the forces of chaos. When evil threatened to return creation to chaos from within, God allowed external chaos to reset the project, an attempt to restore the possibility of shalom.</w:t>
      </w:r>
      <w:r>
        <w:rPr>
          <w:rFonts w:ascii="Times New Roman" w:hAnsi="Times New Roman" w:cs="Times New Roman"/>
          <w:sz w:val="22"/>
          <w:szCs w:val="22"/>
          <w:vertAlign w:val="superscript"/>
        </w:rPr>
        <w:t>9</w:t>
      </w:r>
    </w:p>
    <w:p w14:paraId="24C19D25" w14:textId="77777777" w:rsidR="00804355" w:rsidRPr="00850CC8" w:rsidRDefault="00804355"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 xml:space="preserve">The preservation of Noah and the animals serves this restorative purpose. Noah is described as “righteous” and “blameless in his generation” (Genesis 6:9), not because he was sinless (later chapters </w:t>
        <w:lastRenderedPageBreak/>
        <w:t>reveal his flaws), but because he maintained relationship with God in the midst of comprehensive corruption. He represents the remnant principle that appears throughout Scripture: when judgment comes, God preserves a faithful remnant through whom his purposes, the restoration of shalom, can continue.</w:t>
      </w:r>
    </w:p>
    <w:p w14:paraId="32B64A3E" w14:textId="77777777" w:rsidR="00804355" w:rsidRPr="00850CC8" w:rsidRDefault="00804355"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The animals’ preservation similarly points to God’s concern for creation beyond its human inhabitants. The careful instructions for preserving breeding pairs demonstrate that even in judgment, God was oriented toward the future flourishing of all creation. This is not the action of a deity who destroys capriciously; it is the action of a Creator who remains committed to creation’s ultimate good.</w:t>
      </w:r>
    </w:p>
    <w:p w14:paraId="164AF009" w14:textId="77777777" w:rsidR="00804355" w:rsidRPr="00850CC8" w:rsidRDefault="00804355"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Moreover, the covenant God establishes with Noah after the Flood reveals his fundamental orientation toward shalom. Genesis 9:8–17 describes a covenant that includes “every living creature,” not just humanity but all life on earth.</w:t>
      </w:r>
      <w:r>
        <w:rPr>
          <w:rFonts w:ascii="Times New Roman" w:hAnsi="Times New Roman" w:cs="Times New Roman"/>
          <w:sz w:val="22"/>
          <w:szCs w:val="22"/>
          <w:vertAlign w:val="superscript"/>
        </w:rPr>
        <w:t>10</w:t>
      </w:r>
      <w:r>
        <w:rPr>
          <w:rFonts w:ascii="Times New Roman" w:hAnsi="Times New Roman" w:cs="Times New Roman"/>
          <w:sz w:val="22"/>
          <w:szCs w:val="22"/>
        </w:rPr>
        <w:t xml:space="preserve"> God promises never again to destroy the earth by flood, placing the rainbow in the sky as a sign of this commitment. Remarkably, God frames this covenant as a self-limitation: “I will remember my covenant… and the waters shall never again become a flood to destroy all flesh” (Genesis 9:15). God is binding himself to preserve creation even when human evil continues. He commits himself to pursuing shalom through patient transformation rather than repeated catastrophic resets.</w:t>
      </w:r>
    </w:p>
    <w:p w14:paraId="53E755FF" w14:textId="77777777" w:rsidR="00804355" w:rsidRPr="00850CC8" w:rsidRDefault="00804355"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This covenant transforms how we read the Flood. It was not the first move in an ongoing pattern of catastrophic judgments but a unique event that God himself promises will never be repeated. The Flood established both that comprehensive shattering of shalom requires comprehensive response and that God commits himself to working redemptively within creation’s brokenness rather than repeatedly starting over.</w:t>
      </w:r>
    </w:p>
    <w:p w14:paraId="6CDAF179" w14:textId="77777777" w:rsidR="00804355" w:rsidRPr="00850CC8" w:rsidRDefault="00804355" w:rsidP="00850CC8">
      <w:pPr>
        <w:pStyle w:val="Heading2"/>
        <w:spacing w:line="276" w:lineRule="auto"/>
        <w:rPr>
          <w:rFonts w:ascii="Times New Roman" w:hAnsi="Times New Roman" w:cs="Times New Roman"/>
          <w:sz w:val="22"/>
          <w:szCs w:val="22"/>
        </w:rPr>
      </w:pPr>
      <w:bookmarkStart w:id="26" w:name="_Toc228335832"/>
      <w:r>
        <w:rPr>
          <w:rFonts w:ascii="Times New Roman" w:hAnsi="Times New Roman" w:cs="Times New Roman"/>
          <w:sz w:val="22"/>
          <w:szCs w:val="22"/>
        </w:rPr>
        <w:t>The Relational Framework: Categories and Obligations</w:t>
      </w:r>
      <w:bookmarkEnd w:id="26"/>
    </w:p>
    <w:p w14:paraId="266EA6FE" w14:textId="77777777" w:rsidR="00804355" w:rsidRPr="00850CC8" w:rsidRDefault="00804355"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How does the relational framework illuminate the Flood? By recognizing that humanity before the Flood, as portrayed in the narrative, occupied the position of most extreme relational distance: comprehensive rejection of relationship with God and comprehensive violation of the shalom he established. This was not merely the absence of covenant, which would place them in a relational situation comparable to pre-conquest Gentiles. This was active, total, and persistent rebellion that had reached a point where even the most basic moral norms accessible through general revelation were being systematically violated. Creation’s peace had been comprehensively shattered.</w:t>
      </w:r>
    </w:p>
    <w:p w14:paraId="7E0937CF" w14:textId="77777777" w:rsidR="00804355" w:rsidRPr="00850CC8" w:rsidRDefault="00804355"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Consider the parallels with Sodom and Gomorrah. When Abraham interceded for Sodom, he asked whether God would spare the city for the sake of fifty righteous people, then forty-five, then forty, then thirty, then twenty, and finally ten (Genesis 18:22–33). God agreed to each successive number, demonstrating his eagerness to show mercy for the sake of even a small faithful remnant who might preserve or restore some measure of shalom. But in Sodom, ten righteous could not be found. The judgment proceeded not because God was eager to destroy, but because the corruption was so complete that even a minimal righteous presence, a beachhead for shalom, did not exist.</w:t>
      </w:r>
    </w:p>
    <w:p w14:paraId="42AF02B9" w14:textId="77777777" w:rsidR="00804355" w:rsidRPr="00850CC8" w:rsidRDefault="00804355"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 xml:space="preserve">The Flood narrative represents a similar situation. Noah alone was righteous in the narrative’s terms, not ten people, not fifty, just one man and his immediate family. The text emphasizes Noah’s uniqueness: he “found favor in the eyes of the LORD” (Genesis 6:8) and “walked with God” (Genesis 6:9). Everyone else, according to the story, had embraced comprehensive evil and violence, completely abandoning the shalom for which they were created. Humanity had moved itself into the position of </w:t>
        <w:lastRenderedPageBreak/>
        <w:t>complete relational rupture, not merely distant from God but actively opposed to everything God intended for creation.</w:t>
      </w:r>
    </w:p>
    <w:p w14:paraId="4F085D3B" w14:textId="77777777" w:rsidR="00804355" w:rsidRPr="00850CC8" w:rsidRDefault="00804355"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This relational positioning illuminates God’s response as the narrative presents it. He did not owe humanity the patience he showed to Israel, his covenant people. He did not owe them the warnings he gave to Nineveh through Jonah. The relationship had been comprehensively rejected; the moral order had been totally violated; creation’s shalom had been fundamentally corrupted. Yet even so, God preserved a remnant. Even at maximal relational distance, even in the face of total evil as the story describes it, God’s fundamental orientation toward preservation and restoration of shalom remained operative.</w:t>
      </w:r>
    </w:p>
    <w:p w14:paraId="0EED7B1A" w14:textId="77777777" w:rsidR="00804355" w:rsidRPr="00850CC8" w:rsidRDefault="00804355"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Moreover, we must recognize that this judgment, as narrated, operated at the corporate level. The Flood did not target individuals based on personal guilt; it addressed a civilization that had become comprehensively evil, where shalom had been completely lost. In our individualistic modern context, this corporate dimension troubles us. We want to know: What about children? What about individuals who might not have been as wicked as the worst perpetrators?</w:t>
      </w:r>
    </w:p>
    <w:p w14:paraId="47983FAE" w14:textId="77777777" w:rsidR="00804355" w:rsidRPr="00850CC8" w:rsidRDefault="00804355"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These are the right questions, and they deserve honest wrestling. From a Christian theological perspective informed by Scripture’s broader witness, any who died would face a God who judges with perfect knowledge and perfect justice, who knows exactly their circumstances and hearts. The narrative presents a corporate judgment on comprehensive societal evil, not because God desires destruction of individuals, but because when corporate evil reaches the totality described, its continuation would perpetuate violence without limit, making shalom impossible and abandoning victims to their tormentors indefinitely. We must consider not only those who perished but also those who were suffering under the comprehensive violence, victims whom unlimited divine patience would abandon to unending oppression.</w:t>
      </w:r>
    </w:p>
    <w:p w14:paraId="36CFC8A2" w14:textId="77777777" w:rsidR="00804355" w:rsidRPr="00850CC8" w:rsidRDefault="00804355"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The Flood narrative reveals the pattern traced throughout this book: different relationships require different responses, and a civilization in total rebellion against God, against moral order, against shalom itself, requires a response different from a covenant people who stumble but remain in relationship. Whether this describes a historical global flood, a regional catastrophe theologized in universal terms, or a theological narrative using ancient conventions, the relational principle remains: comprehensive rejection of shalom yields comprehensive consequence, yet even then, God preserves a remnant and commits to restoration.</w:t>
      </w:r>
    </w:p>
    <w:p w14:paraId="5C50C132" w14:textId="77777777" w:rsidR="00804355" w:rsidRPr="00850CC8" w:rsidRDefault="00804355" w:rsidP="00850CC8">
      <w:pPr>
        <w:pStyle w:val="Heading2"/>
        <w:spacing w:line="276" w:lineRule="auto"/>
        <w:rPr>
          <w:rFonts w:ascii="Times New Roman" w:hAnsi="Times New Roman" w:cs="Times New Roman"/>
          <w:sz w:val="22"/>
          <w:szCs w:val="22"/>
        </w:rPr>
      </w:pPr>
      <w:bookmarkStart w:id="27" w:name="_Toc228335833"/>
      <w:r>
        <w:rPr>
          <w:rFonts w:ascii="Times New Roman" w:hAnsi="Times New Roman" w:cs="Times New Roman"/>
          <w:sz w:val="22"/>
          <w:szCs w:val="22"/>
        </w:rPr>
        <w:t>The Theodicy Question: Divine Justice and Human Suffering</w:t>
      </w:r>
      <w:bookmarkEnd w:id="27"/>
    </w:p>
    <w:p w14:paraId="21108CE8" w14:textId="77777777" w:rsidR="00804355" w:rsidRPr="00850CC8" w:rsidRDefault="00804355"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Even granting that the narrative portrays comprehensive corruption and understanding it within ancient literary conventions, questions of theodicy remain. The death of children in any judgment troubles the conscience. The inclusion of animals in the destruction gives pause. Could not God, being omnipotent, have found less destructive solutions? This is a “wicked problem” in Lynch’s sense, one that cannot be fully resolved from our limited perspective but must be wrestled with honestly rather than dismissed.</w:t>
      </w:r>
    </w:p>
    <w:p w14:paraId="12FA6FC9" w14:textId="77777777" w:rsidR="00804355" w:rsidRPr="00850CC8" w:rsidRDefault="00804355"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 xml:space="preserve">The narrative presents corruption that had become self-perpetuating, making shalom impossible to restore through selective intervention. When an entire civilization trains each generation in violence and evil, when the moral knowledge available through conscience has been systematically suppressed, selective judgment of individuals will not address the systemic problem. The culture itself had become toxic, perpetuating the cycle of violence. Breaking this cycle, according to the narrative logic, required </w:t>
        <w:lastRenderedPageBreak/>
        <w:t>more than removing particular individuals; it required removing or radically resetting the culture that produced them and made shalom impossible.</w:t>
      </w:r>
    </w:p>
    <w:p w14:paraId="2C9F1AC8" w14:textId="77777777" w:rsidR="00804355" w:rsidRPr="00850CC8" w:rsidRDefault="00804355"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The narrative also presents God as choosing preservation over annihilation, choosing the possibility of restored shalom over permanent chaos. He could have simply eliminated humanity entirely and started fresh with new creatures. Instead, he preserved a remnant and re-established creation through that remnant, maintaining continuity with his original purpose. He could have allowed the corruption to continue indefinitely, which would have perpetuated violence and suffering without limit, making shalom permanently impossible. The Flood, while catastrophic in the narrative’s portrayal, represents a restorative rather than purely punitive action.</w:t>
      </w:r>
    </w:p>
    <w:p w14:paraId="6ED33D4D" w14:textId="77777777" w:rsidR="00804355" w:rsidRPr="00850CC8" w:rsidRDefault="00804355"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We must also consider the victims of the pre-Flood violence. The text says the earth was “filled with violence” (</w:t>
      </w:r>
      <w:r>
        <w:rPr>
          <w:rFonts w:ascii="Times New Roman" w:hAnsi="Times New Roman" w:cs="Times New Roman"/>
          <w:i/>
          <w:iCs/>
          <w:sz w:val="22"/>
          <w:szCs w:val="22"/>
        </w:rPr>
        <w:t>hamas</w:t>
      </w:r>
      <w:r>
        <w:rPr>
          <w:rFonts w:ascii="Times New Roman" w:hAnsi="Times New Roman" w:cs="Times New Roman"/>
          <w:sz w:val="22"/>
          <w:szCs w:val="22"/>
        </w:rPr>
        <w:t>). This means countless victims were suffering under systematic oppression, cruelty, and injustice, the complete absence of shalom. Allowing this to continue indefinitely would itself constitute moral failure. God would be abandoning victims to their tormentors. The judgment ended not only the perpetrators but also the perpetration, breaking the cycle that made shalom impossible.</w:t>
      </w:r>
    </w:p>
    <w:p w14:paraId="38E39A3A" w14:textId="77777777" w:rsidR="00804355" w:rsidRPr="00850CC8" w:rsidRDefault="00804355"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Within the biblical worldview, humanity’s fall introduced corruption and death to all creation (Romans 8:20–22). The Flood, as a corporate and cosmic reset within the narrative, addressed this systemic corruption. The preservation of breeding pairs on the ark signifies that judgment was not an end in itself but a drastic means to a redemptive end for all life, an attempt to restore the possibility of comprehensive shalom.</w:t>
      </w:r>
    </w:p>
    <w:p w14:paraId="0EA0623D" w14:textId="77777777" w:rsidR="00804355" w:rsidRPr="00850CC8" w:rsidRDefault="00804355"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The narrative established a moral boundary. By demonstrating that comprehensive shattering of shalom cannot continue indefinitely without consequences, God revealed that moral order is real and that persistent rebellion against that order will ultimately be addressed. A world where comprehensive evil faces no ultimate consequences is a world where morality itself becomes meaningless and shalom becomes permanently impossible.</w:t>
      </w:r>
    </w:p>
    <w:p w14:paraId="39E5765B" w14:textId="77777777" w:rsidR="00804355" w:rsidRPr="00850CC8" w:rsidRDefault="00804355"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Most importantly for our purposes, the text emphasizes God’s grief. “It grieved him to his heart” (Genesis 6:6). The Flood was not gleeful destruction but sorrowful necessity. God takes no pleasure in judgment, as he later declares through Ezekiel: “I have no pleasure in the death of the wicked” (Ezekiel 33:11).</w:t>
      </w:r>
      <w:r>
        <w:rPr>
          <w:rFonts w:ascii="Times New Roman" w:hAnsi="Times New Roman" w:cs="Times New Roman"/>
          <w:sz w:val="22"/>
          <w:szCs w:val="22"/>
          <w:vertAlign w:val="superscript"/>
        </w:rPr>
        <w:t>11</w:t>
      </w:r>
      <w:r>
        <w:rPr>
          <w:rFonts w:ascii="Times New Roman" w:hAnsi="Times New Roman" w:cs="Times New Roman"/>
          <w:sz w:val="22"/>
          <w:szCs w:val="22"/>
        </w:rPr>
        <w:t xml:space="preserve"> The grief God experienced demonstrates that even when judgment is required to address comprehensive evil, it costs God something. This is not the portrait of a cruel deity but of a God whose justice and mercy exist in tension, who judges only when necessary and sorrows over the necessity.</w:t>
      </w:r>
    </w:p>
    <w:p w14:paraId="32FA63BE" w14:textId="77777777" w:rsidR="00804355" w:rsidRPr="00850CC8" w:rsidRDefault="00804355"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The theodicy question ultimately cannot be fully resolved from our limited perspective. We can affirm that the narrative presents corporate evil requiring corporate response, not because God desires destruction, but because moral order demands that persistent, total rebellion that makes shalom impossible cannot continue indefinitely. Whether read as history or as theological narrative, the pattern remains: judgment comes with grief, preserves remnants, and leads to renewed covenant commitment. Even in the narrative’s most difficult moment, God’s character as fundamentally oriented toward restoration of shalom shines through.</w:t>
      </w:r>
    </w:p>
    <w:p w14:paraId="4AD12BF7" w14:textId="77777777" w:rsidR="00804355" w:rsidRPr="00850CC8" w:rsidRDefault="00804355" w:rsidP="00850CC8">
      <w:pPr>
        <w:pStyle w:val="Heading2"/>
        <w:spacing w:line="276" w:lineRule="auto"/>
        <w:rPr>
          <w:rFonts w:ascii="Times New Roman" w:hAnsi="Times New Roman" w:cs="Times New Roman"/>
          <w:sz w:val="22"/>
          <w:szCs w:val="22"/>
        </w:rPr>
      </w:pPr>
      <w:bookmarkStart w:id="28" w:name="_Toc228335834"/>
      <w:r>
        <w:rPr>
          <w:rFonts w:ascii="Times New Roman" w:hAnsi="Times New Roman" w:cs="Times New Roman"/>
          <w:sz w:val="22"/>
          <w:szCs w:val="22"/>
        </w:rPr>
        <w:t>The Trajectory: From Flood to Cross to New Creation</w:t>
      </w:r>
      <w:bookmarkEnd w:id="28"/>
    </w:p>
    <w:p w14:paraId="5590888F" w14:textId="77777777" w:rsidR="00804355" w:rsidRPr="00850CC8" w:rsidRDefault="00804355"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lastRenderedPageBreak/>
        <w:t>The Flood must be seen within the larger trajectory of God’s response to sin throughout Genesis and beyond, a pattern that reveals a profound theological development pointing ultimately to the cross and resurrection. This trajectory is perhaps the single most important insight for reading the Flood: it points beyond itself to something greater, to God’s ultimate solution to the problem of comprehensive evil.</w:t>
      </w:r>
    </w:p>
    <w:p w14:paraId="24D3AA05" w14:textId="77777777" w:rsidR="00804355" w:rsidRPr="00850CC8" w:rsidRDefault="00804355"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The pattern unfolds across Genesis. The first judgment in the Garden led to exile from God’s presence. The Flood, as a narrative of corporate uncreation, was a second, more drastic attempt to restore shalom through reset. The third judgment, at Babel, addressed human pride through confusion and scattering. Then comes the pivotal turn: in calling Abraham immediately after Babel (Genesis 12:1–3), God unveils a fundamentally new strategy. No longer responding to human failure with comprehensive catastrophic judgment, he instead initiates a covenant with one faithful man, through whom he promises to bless all the scattered families of the earth, a promise of comprehensive shalom restoration through particular election. This turn sets the trajectory away from universal catastrophe and toward particular redemption, from external reset toward internal transformation.</w:t>
      </w:r>
    </w:p>
    <w:p w14:paraId="672E5403" w14:textId="77777777" w:rsidR="00804355" w:rsidRPr="00850CC8" w:rsidRDefault="00804355"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The Flood establishes a sobering principle: the holy God must address comprehensive evil that destroys shalom. But it leaves a haunting question: is catastrophic external judgment God’s only, or even final, word to a sinful world? The trajectory of Scripture reveals a resounding no. The Flood is not the final word on how God deals with human evil; it is an early word, a boundary-setting word, that prepares for fuller revelation of God’s character and ultimate purposes culminating in Christ.</w:t>
      </w:r>
    </w:p>
    <w:p w14:paraId="7759DAE4" w14:textId="77777777" w:rsidR="00804355" w:rsidRPr="00850CC8" w:rsidRDefault="00804355" w:rsidP="00850CC8">
      <w:pPr>
        <w:spacing w:before="240" w:after="120" w:line="276" w:lineRule="auto"/>
        <w:rPr>
          <w:rFonts w:ascii="Times New Roman" w:hAnsi="Times New Roman" w:cs="Times New Roman"/>
          <w:sz w:val="22"/>
          <w:szCs w:val="22"/>
        </w:rPr>
      </w:pPr>
      <w:r>
        <w:rPr>
          <w:rFonts w:ascii="Times New Roman" w:hAnsi="Times New Roman" w:cs="Times New Roman"/>
          <w:b/>
          <w:bCs/>
          <w:sz w:val="22"/>
          <w:szCs w:val="22"/>
        </w:rPr>
        <w:t>The Rainbow Covenant: God’s Self-Limitation</w:t>
      </w:r>
    </w:p>
    <w:p w14:paraId="4D2F5AEF" w14:textId="77777777" w:rsidR="00804355" w:rsidRPr="00850CC8" w:rsidRDefault="00804355"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The post-Flood covenant in Genesis 9 already points beyond judgment toward God’s commitment to redemptive patience. By binding himself to preserve creation despite continuing human evil, God signals that his ultimate purposes will not be accomplished through repeated catastrophic judgments but through patient working within creation’s brokenness toward restoration of shalom. The rainbow becomes a sign of this commitment. He has limited himself, committing to pursue shalom through transformation rather than repeated destruction.</w:t>
      </w:r>
    </w:p>
    <w:p w14:paraId="2CC05147" w14:textId="77777777" w:rsidR="00804355" w:rsidRPr="00850CC8" w:rsidRDefault="00804355"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This trajectory continues throughout Scripture with increasing clarity. God’s response to evil becomes focused and particular rather than comprehensive and universal. He calls Abraham to be a blessing to all nations. He establishes Israel as a light to the Gentiles. He sends prophets to warn, reprieve, and call to repentance. He demonstrates extraordinary patience with persistent rebellion. The pattern moves from comprehensive external judgment toward targeted redemptive relationship, from catastrophic reset toward patient transformation, all aimed at restoration of comprehensive shalom.</w:t>
      </w:r>
    </w:p>
    <w:p w14:paraId="68FACB16" w14:textId="77777777" w:rsidR="00804355" w:rsidRPr="00850CC8" w:rsidRDefault="00804355" w:rsidP="00850CC8">
      <w:pPr>
        <w:spacing w:before="240" w:after="120" w:line="276" w:lineRule="auto"/>
        <w:rPr>
          <w:rFonts w:ascii="Times New Roman" w:hAnsi="Times New Roman" w:cs="Times New Roman"/>
          <w:sz w:val="22"/>
          <w:szCs w:val="22"/>
        </w:rPr>
      </w:pPr>
      <w:r>
        <w:rPr>
          <w:rFonts w:ascii="Times New Roman" w:hAnsi="Times New Roman" w:cs="Times New Roman"/>
          <w:b/>
          <w:bCs/>
          <w:sz w:val="22"/>
          <w:szCs w:val="22"/>
        </w:rPr>
        <w:t>The Flood in New Testament Perspective</w:t>
      </w:r>
    </w:p>
    <w:p w14:paraId="784DF0F7" w14:textId="77777777" w:rsidR="00804355" w:rsidRPr="00850CC8" w:rsidRDefault="00804355"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The New Testament authors engage the Flood repeatedly, but always through the lens of Christ’s victory. Jesus references the Flood in Matthew 24:37–39 and Luke 17:26–27, but his point is not that God will flood again. Rather, he warns that God’s kingdom will come decisively, and people must be ready. The Flood becomes a type, a sign pointing to greater realities.</w:t>
      </w:r>
    </w:p>
    <w:p w14:paraId="61223C19" w14:textId="77777777" w:rsidR="00804355" w:rsidRPr="00850CC8" w:rsidRDefault="00804355"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Peter develops this typology most explicitly: “God’s patience waited in the days of Noah, while the ark was being prepared, in which a few, that is, eight persons, were brought safely through water. Baptism, which corresponds to this, now saves you” (1 Peter 3:20–21).</w:t>
      </w:r>
      <w:r>
        <w:rPr>
          <w:rFonts w:ascii="Times New Roman" w:hAnsi="Times New Roman" w:cs="Times New Roman"/>
          <w:sz w:val="22"/>
          <w:szCs w:val="22"/>
          <w:vertAlign w:val="superscript"/>
        </w:rPr>
        <w:t>12</w:t>
      </w:r>
      <w:r>
        <w:rPr>
          <w:rFonts w:ascii="Times New Roman" w:hAnsi="Times New Roman" w:cs="Times New Roman"/>
          <w:sz w:val="22"/>
          <w:szCs w:val="22"/>
        </w:rPr>
        <w:t xml:space="preserve"> The same event demonstrating judgment also demonstrates preservation. But baptism is now joined to Christ’s death and resurrection; </w:t>
        <w:lastRenderedPageBreak/>
        <w:t>the means of dealing with evil has fundamentally shifted from external catastrophe to internal transformation.</w:t>
      </w:r>
    </w:p>
    <w:p w14:paraId="79687B65" w14:textId="77777777" w:rsidR="00804355" w:rsidRPr="00850CC8" w:rsidRDefault="00804355"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Peter returns to the Flood in 2 Peter 3:5–7, where he contrasts the world destroyed by water with the present world reserved for fire. But crucially, between these two judgments stands the age of divine patience: “The Lord is not slow to fulfill his promise as some count slowness, but is patient toward you, not wishing that any should perish, but that all should reach repentance” (2 Peter 3:9). The rainbow covenant commitment has been extended and deepened through Christ.</w:t>
      </w:r>
    </w:p>
    <w:p w14:paraId="3852DC9C" w14:textId="77777777" w:rsidR="00804355" w:rsidRPr="00850CC8" w:rsidRDefault="00804355" w:rsidP="00850CC8">
      <w:pPr>
        <w:spacing w:before="240" w:after="120" w:line="276" w:lineRule="auto"/>
        <w:rPr>
          <w:rFonts w:ascii="Times New Roman" w:hAnsi="Times New Roman" w:cs="Times New Roman"/>
          <w:sz w:val="22"/>
          <w:szCs w:val="22"/>
        </w:rPr>
      </w:pPr>
      <w:r>
        <w:rPr>
          <w:rFonts w:ascii="Times New Roman" w:hAnsi="Times New Roman" w:cs="Times New Roman"/>
          <w:b/>
          <w:bCs/>
          <w:sz w:val="22"/>
          <w:szCs w:val="22"/>
        </w:rPr>
        <w:t>The Cross as God’s Ultimate Solution</w:t>
      </w:r>
    </w:p>
    <w:p w14:paraId="5DE61D85" w14:textId="77777777" w:rsidR="00804355" w:rsidRPr="00850CC8" w:rsidRDefault="00804355"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N. T. Wright helps us see why this transformation works and why the cross represents God’s ultimate answer to the problem the Flood exposes. All four Gospels present Jesus’s crucifixion as the moment when, and the means by which, the Creator God wins the victory over all the forces of evil.</w:t>
      </w:r>
      <w:r>
        <w:rPr>
          <w:rFonts w:ascii="Times New Roman" w:hAnsi="Times New Roman" w:cs="Times New Roman"/>
          <w:sz w:val="22"/>
          <w:szCs w:val="22"/>
          <w:vertAlign w:val="superscript"/>
        </w:rPr>
        <w:t>13</w:t>
      </w:r>
      <w:r>
        <w:rPr>
          <w:rFonts w:ascii="Times New Roman" w:hAnsi="Times New Roman" w:cs="Times New Roman"/>
          <w:sz w:val="22"/>
          <w:szCs w:val="22"/>
        </w:rPr>
        <w:t xml:space="preserve"> Jesus “took upon himself the suffering, shame and death of the world, in order to overcome the powers of the world and launch God’s long-intended project of new creation,” the comprehensive restoration of shalom.</w:t>
      </w:r>
    </w:p>
    <w:p w14:paraId="600750C7" w14:textId="77777777" w:rsidR="00804355" w:rsidRPr="00850CC8" w:rsidRDefault="00804355"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The Flood and the cross both address comprehensive evil at cosmic scale, but in radically different ways. The narrative of Genesis 6 suggests corruption that extended beyond the terrestrial realm: divine beings transgressing boundaries, cosmic disorder, comprehensive breakdown of created order. The cross similarly operates at this cosmic scale. Paul declares in Colossians 2:15 that Christ “disarmed the rulers and authorities, making a public spectacle of them, triumphing over them by the cross.” Where the Flood addresses comprehensive evil through external removal of corrupted creation, the cross addresses it through internal transformation, absorbing the judgment into himself.</w:t>
      </w:r>
    </w:p>
    <w:p w14:paraId="13B2DDDA" w14:textId="77777777" w:rsidR="00804355" w:rsidRPr="00850CC8" w:rsidRDefault="00804355"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The contrasts are instructive. The Flood represents external judgment: waters destroy the wicked from without. The cross represents judgment borne from within: the Righteous One suffers for the wicked rather than being removed from them. Where the Flood removes comprehensive evil by destroying evildoers, the cross redeems comprehensive evil by transforming them. Where the Flood preserves eight persons through the judgment waters, the cross offers universal rescue through the King who absorbs judgment into himself. Where the Flood displays God’s justice outwardly, with evil punished from above, the cross displays it inwardly, with evil borne by the Innocent One from below. And where the Flood demonstrates that God cannot tolerate comprehensive evil that destroys shalom, the cross demonstrates that he will not abandon his creatures to permanent loss of it.</w:t>
      </w:r>
    </w:p>
    <w:p w14:paraId="4FF5BBD3" w14:textId="77777777" w:rsidR="00804355" w:rsidRPr="00850CC8" w:rsidRDefault="00804355"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Crucially, Wright notes that the Gospels present Jesus’s crucifixion as his enthronement. The Flood represents God as Judge executing sentence on comprehensive rebellion against shalom. The cross represents God as King absorbing that judgment into himself to restore shalom. The throne established at the cross is the rainbow covenant fulfilled and transcended: not just “I will not flood again” but “I will redeem even the flood-worthy. I will restore comprehensive shalom through suffering love rather than through external catastrophe.”</w:t>
      </w:r>
    </w:p>
    <w:p w14:paraId="2133805F" w14:textId="77777777" w:rsidR="00804355" w:rsidRPr="00850CC8" w:rsidRDefault="00804355" w:rsidP="00850CC8">
      <w:pPr>
        <w:spacing w:before="240" w:after="120" w:line="276" w:lineRule="auto"/>
        <w:rPr>
          <w:rFonts w:ascii="Times New Roman" w:hAnsi="Times New Roman" w:cs="Times New Roman"/>
          <w:sz w:val="22"/>
          <w:szCs w:val="22"/>
        </w:rPr>
      </w:pPr>
      <w:r>
        <w:rPr>
          <w:rFonts w:ascii="Times New Roman" w:hAnsi="Times New Roman" w:cs="Times New Roman"/>
          <w:b/>
          <w:bCs/>
          <w:sz w:val="22"/>
          <w:szCs w:val="22"/>
        </w:rPr>
        <w:t>Resurrection as New Creation</w:t>
      </w:r>
    </w:p>
    <w:p w14:paraId="4FD07382" w14:textId="77777777" w:rsidR="00804355" w:rsidRPr="00850CC8" w:rsidRDefault="00804355"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 xml:space="preserve">But the cross alone is not the full answer; it must be held together with the resurrection. Wright emphasizes that the resurrection of Jesus is the beginning of the new creation, in which we are to share </w:t>
        <w:lastRenderedPageBreak/>
        <w:t>already in the power of the Spirit, and that the dark powers that have kept the world enslaved to sin and death have been defeated. This is crucial for understanding the trajectory from Flood to final shalom.</w:t>
      </w:r>
    </w:p>
    <w:p w14:paraId="0AEC2882" w14:textId="77777777" w:rsidR="00804355" w:rsidRPr="00850CC8" w:rsidRDefault="00804355"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The Flood represents a “reset” within the old creation: waters return, earth is cleansed, but humanity remains fallen, death continues, shalom is only partially restored. It was a provisional solution within a fallen cosmos. The resurrection represents something radically new: not just preservation through judgment or even transformation of sinners, but the beginning of new creation itself, the comprehensive restoration of shalom at cosmic scale. Easter launches new creation. The rainbow covenant promises “no more floods,” but the empty tomb promises something infinitely greater: “no more death” (Revelation 21:4), no more violence, no more corruption, comprehensive, permanent, cosmic shalom.</w:t>
      </w:r>
    </w:p>
    <w:p w14:paraId="20DAB462" w14:textId="77777777" w:rsidR="00804355" w:rsidRPr="00850CC8" w:rsidRDefault="00804355"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The Flood addressed the symptoms of comprehensive evil through external removal. The cross addressed the root of comprehensive evil through internal transformation. The resurrection inaugurates the cure: new creation where shalom is not just restored but made permanent, where “the creation itself will be set free from its bondage to corruption and obtain the freedom of the glory of the children of God” (Romans 8:21).</w:t>
      </w:r>
    </w:p>
    <w:p w14:paraId="0146CD13" w14:textId="77777777" w:rsidR="00804355" w:rsidRPr="00850CC8" w:rsidRDefault="00804355" w:rsidP="00850CC8">
      <w:pPr>
        <w:spacing w:before="240" w:after="120" w:line="276" w:lineRule="auto"/>
        <w:rPr>
          <w:rFonts w:ascii="Times New Roman" w:hAnsi="Times New Roman" w:cs="Times New Roman"/>
          <w:sz w:val="22"/>
          <w:szCs w:val="22"/>
        </w:rPr>
      </w:pPr>
      <w:r>
        <w:rPr>
          <w:rFonts w:ascii="Times New Roman" w:hAnsi="Times New Roman" w:cs="Times New Roman"/>
          <w:b/>
          <w:bCs/>
          <w:sz w:val="22"/>
          <w:szCs w:val="22"/>
        </w:rPr>
        <w:t>Living in the Already/Not Yet</w:t>
      </w:r>
    </w:p>
    <w:p w14:paraId="14361198" w14:textId="77777777" w:rsidR="00804355" w:rsidRPr="00850CC8" w:rsidRDefault="00804355"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Wright’s framework helps us understand our current position in redemptive history. We live in what he calls the “already/not yet” tension. Christ has won the decisive victory; the powers are defeated, new creation has begun, shalom is being restored (already). Yet evil continues to rage, corruption persists, shalom is not yet fully realized (not yet). This explains why comprehensive evil persists even after the cross. The battle has been won, but the war continues until Christ returns.</w:t>
      </w:r>
    </w:p>
    <w:p w14:paraId="794DB6D4" w14:textId="77777777" w:rsidR="00804355" w:rsidRPr="00850CC8" w:rsidRDefault="00804355"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This tension is precisely what makes the cross different from the Flood. The Flood was complete and final in its moment: judgment fell, waters rose, evil was removed within the narrative’s terms. There was no “not yet” phase. The cross is different precisely because it inaugurates a process. Present suffering and struggle are held within the narrative of Jesus’ victory on the one hand and the final redemption of all creation on the other. Between Christ’s victory and final consummation stands this age of invitation, this era of transformation, this time when comprehensive evil is being addressed not through external catastrophe but through the Spirit’s internal work of new creation.</w:t>
      </w:r>
    </w:p>
    <w:p w14:paraId="356BDAB7" w14:textId="77777777" w:rsidR="00804355" w:rsidRPr="00850CC8" w:rsidRDefault="00804355"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This is why the Flood matters for Christians: not as a template for how God currently operates but as a boundary marker. It shows the problem’s severity (comprehensive evil that destroys shalom cannot continue indefinitely) while making the cross’s solution all the more remarkable (God’s ultimate answer is not external destruction but internal redemption leading to new creation). The Flood reveals what comprehensive evil deserves; the cross reveals what comprehensive love provides; the resurrection reveals what comprehensive shalom will be.</w:t>
      </w:r>
    </w:p>
    <w:p w14:paraId="05B26BBC" w14:textId="77777777" w:rsidR="00804355" w:rsidRPr="00850CC8" w:rsidRDefault="00804355" w:rsidP="00850CC8">
      <w:pPr>
        <w:pStyle w:val="Heading2"/>
        <w:spacing w:line="276" w:lineRule="auto"/>
        <w:rPr>
          <w:rFonts w:ascii="Times New Roman" w:hAnsi="Times New Roman" w:cs="Times New Roman"/>
          <w:sz w:val="22"/>
          <w:szCs w:val="22"/>
        </w:rPr>
      </w:pPr>
      <w:bookmarkStart w:id="29" w:name="_Toc228335835"/>
      <w:r>
        <w:rPr>
          <w:rFonts w:ascii="Times New Roman" w:hAnsi="Times New Roman" w:cs="Times New Roman"/>
          <w:sz w:val="22"/>
          <w:szCs w:val="22"/>
        </w:rPr>
        <w:t>Contemporary Application</w:t>
      </w:r>
      <w:bookmarkEnd w:id="29"/>
    </w:p>
    <w:p w14:paraId="28DBC930" w14:textId="77777777" w:rsidR="00804355" w:rsidRPr="00850CC8" w:rsidRDefault="00804355"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What should contemporary readers learn from the Flood narrative when read through the lens of Christ’s victory and resurrection?</w:t>
      </w:r>
    </w:p>
    <w:p w14:paraId="12C211A1" w14:textId="77777777" w:rsidR="00804355" w:rsidRPr="00850CC8" w:rsidRDefault="00804355"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 xml:space="preserve">We learn, first, that evil has limits and shalom has a future. The Flood establishes that comprehensive rebellion against moral order and comprehensive destruction of shalom cannot continue indefinitely without consequences. This is both warning and comfort: warning to those who persist in </w:t>
        <w:lastRenderedPageBreak/>
        <w:t>evil, comfort to victims who suffer under evil. God will not tolerate comprehensive corruption forever. Justice is real, shalom matters, and evil will ultimately be addressed.</w:t>
      </w:r>
    </w:p>
    <w:p w14:paraId="3A2B0323" w14:textId="77777777" w:rsidR="00804355" w:rsidRPr="00850CC8" w:rsidRDefault="00804355"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We learn, second, about corporate responsibility for shalom. The Flood, however understood historically, operates at civilizational level in its narrative function because evil and violence had become civilizational. This reminds us that we are not merely isolated individuals but members of communities, cultures, and societies whose practices shape us and for which we bear some responsibility. We are called to be salt and light, working to transform corrupt systems and restore shalom rather than merely avoiding personal participation in evil.</w:t>
      </w:r>
    </w:p>
    <w:p w14:paraId="1F2431A7" w14:textId="77777777" w:rsidR="00804355" w:rsidRPr="00850CC8" w:rsidRDefault="00804355"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We learn, third, about God’s grief in judgment. The text emphasizes that the Flood grieved God; the loss of shalom caused him pain. This challenges both those who present God as gleefully punitive and those who present him as incapable of judgment. God judges when necessary to preserve moral order and protect victims, but he sorrows over the necessity. This should shape how we think about divine judgment: not as arbitrary anger but as sorrowful justice, not as God’s preference but as his reluctant response when patience has been exhausted and relationship has been comprehensively rejected.</w:t>
      </w:r>
    </w:p>
    <w:p w14:paraId="4A91A8A3" w14:textId="77777777" w:rsidR="00804355" w:rsidRPr="00850CC8" w:rsidRDefault="00804355"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We learn, fourth, about the remnant principle. Even in comprehensive judgment, God preserves those who remain in relationship with him, preserving the possibility of restored shalom through them. Noah was saved not because he was sinless but because he “walked with God.” This reminds us that relationship with God, not perfect performance, is what ultimately matters.</w:t>
      </w:r>
    </w:p>
    <w:p w14:paraId="50FF4E4E" w14:textId="77777777" w:rsidR="00804355" w:rsidRPr="00850CC8" w:rsidRDefault="00804355"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We learn, fifth, about God’s self-limitation and the trajectory toward the cross. The post-Flood covenant is remarkable: God binds himself to never again destroy the earth by flood. He commits to working redemptively within creation’s continuing brokenness rather than repeatedly starting over. This reveals God’s fundamental orientation toward patience and restoration of shalom. And this trajectory leads to the cross, where God’s ultimate commitment to shalom is revealed: not external destruction but internal transformation, not removal but redemption.</w:t>
      </w:r>
    </w:p>
    <w:p w14:paraId="6D6BDF0C" w14:textId="77777777" w:rsidR="00804355" w:rsidRPr="00850CC8" w:rsidRDefault="00804355"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We learn, sixth, appropriate humility about ancient narrative and modern questions. The Flood remains difficult, and questions persist about its historicity, scope, and mechanism. But the narrative teaches us to trust that the Judge of all the earth will do right, that God’s knowledge exceeds ours, that his decisions are made with perfect understanding of all factors we cannot see. More importantly, it teaches us that theological truth can be communicated through ancient narrative forms using ancient Near Eastern literary conventions without requiring wooden literalism about every detail.</w:t>
      </w:r>
    </w:p>
    <w:p w14:paraId="5E58D1F5" w14:textId="77777777" w:rsidR="00804355" w:rsidRPr="00850CC8" w:rsidRDefault="00804355"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Finally, we learn to resist the role of judge toward others. The narrative warns us against the human tendency to identify contemporary peoples as the modern-day “corrupt civilization” deserving of Flood-like judgment. We live under the rainbow covenant, in the age of grace and patience extended through Christ. Our calling is not to pronounce divine catastrophe but to embody the same patient mercy God shows the world, to work for shalom’s restoration, and to proclaim the redemption available in Christ, who took the final judgment upon himself.</w:t>
      </w:r>
    </w:p>
    <w:p w14:paraId="107B94ED" w14:textId="77777777" w:rsidR="00804355" w:rsidRPr="00850CC8" w:rsidRDefault="00804355" w:rsidP="00850CC8">
      <w:pPr>
        <w:pStyle w:val="Heading2"/>
        <w:spacing w:line="276" w:lineRule="auto"/>
        <w:rPr>
          <w:rFonts w:ascii="Times New Roman" w:hAnsi="Times New Roman" w:cs="Times New Roman"/>
          <w:sz w:val="22"/>
          <w:szCs w:val="22"/>
        </w:rPr>
      </w:pPr>
      <w:bookmarkStart w:id="30" w:name="_Toc228335836"/>
      <w:r>
        <w:rPr>
          <w:rFonts w:ascii="Times New Roman" w:hAnsi="Times New Roman" w:cs="Times New Roman"/>
          <w:sz w:val="22"/>
          <w:szCs w:val="22"/>
        </w:rPr>
        <w:t>Conclusion: From Flood to Cross to New Creation</w:t>
      </w:r>
      <w:bookmarkEnd w:id="30"/>
    </w:p>
    <w:p w14:paraId="700CF14E" w14:textId="77777777" w:rsidR="00804355" w:rsidRPr="00850CC8" w:rsidRDefault="00804355"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 xml:space="preserve">The Flood narrative remains one of Scripture’s most challenging texts. We have not eliminated its difficulties or provided easy answers to every question it raises. Questions about children in judgment </w:t>
        <w:lastRenderedPageBreak/>
        <w:t>remain painful. The comprehensiveness of the catastrophe as narrated remains sobering. Questions about historicity, extent, and mechanism remain complex.</w:t>
      </w:r>
    </w:p>
    <w:p w14:paraId="3B9239CB" w14:textId="77777777" w:rsidR="00804355" w:rsidRPr="00850CC8" w:rsidRDefault="00804355"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But we have shown that the relational framework, enriched by attention to ancient Near Eastern literary context and read through the lens of Christ’s victory, provides coherent answers to these challenges, answers that take seriously both the moral weight of the text and the broader biblical witness to God’s character culminating in cross and resurrection. The Flood was not arbitrary divine anger but response to comprehensive corruption that shattered creation’s shalom. It was not God’s preference but his grief-filled response when evil reached totality and relationship had been comprehensively rejected. It was not repeated but transformed: first into a covenant commitment to work redemptively within creation’s continuing brokenness, and ultimately into God’s climactic solution at the cross, not external destruction but internal transformation leading to new creation.</w:t>
      </w:r>
    </w:p>
    <w:p w14:paraId="73BFEF58" w14:textId="77777777" w:rsidR="00804355" w:rsidRPr="00850CC8" w:rsidRDefault="00804355"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The Flood reveals the same God we see throughout Scripture, but especially as fully revealed in Christ: a God whose fundamental inclination is toward shalom, toward mercy, patience, and wholeness; whose grief over judgment is real; who preserves remnants even in comprehensive judgment; and who commits himself to never giving up on creation despite its persistent rebellion. This is not a different God from the One revealed in Christ; it is the same God at an earlier stage of progressive revelation, establishing boundaries that will later be transformed by grace, demonstrating justice that will later be satisfied by the cross, pointing toward comprehensive restoration of shalom that will be inaugurated at Easter and consummated at Christ’s return.</w:t>
      </w:r>
    </w:p>
    <w:p w14:paraId="254DF191" w14:textId="77777777" w:rsidR="00804355" w:rsidRPr="00850CC8" w:rsidRDefault="00804355"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Most importantly, the Flood demonstrates that God’s character is coherent even when his actions are difficult. Justice and mercy are not contradictory attributes that God balances or alternates between. They are integrated aspects of his love, a love that cannot tolerate persistent evil that destroys his creatures and shatters shalom, yet a love that grieves over the necessity of judgment and commits to finding another way. At the cross, that other way is revealed: comprehensive love meeting comprehensive evil, transforming rather than removing, redeeming rather than destroying.</w:t>
      </w:r>
    </w:p>
    <w:p w14:paraId="3A38FF0C" w14:textId="77777777" w:rsidR="00804355" w:rsidRPr="00850CC8" w:rsidRDefault="00804355"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We read the Flood in light of the cross and resurrection. Where the Flood destroyed sinners to purge creation of corruption in the narrative’s portrayal, the cross transforms sinners to purge them of corruption. Where the Flood came after patience was exhausted, the cross extends patience even to those who crucified Christ. Where the Flood established that comprehensive evil has limits, the cross establishes that mercy has none: that anyone who turns to Christ can be saved regardless of how far they have fallen or how comprehensively they have rebelled. Where the Flood represented a reset within the old creation, the resurrection inaugurates new creation itself, comprehensive, permanent restoration of shalom.</w:t>
      </w:r>
    </w:p>
    <w:p w14:paraId="379D521E" w14:textId="77777777" w:rsidR="00804355" w:rsidRPr="00850CC8" w:rsidRDefault="00804355"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The rainbow stands as a sign of this transformation. Whenever storm clouds gather, it reminds us that God has bound himself to redemptive patience. He will not give up on creation. He will not resort again to comprehensive catastrophe. He has committed to working within the mess, transforming from within through his Spirit, calling all to relationship through Christ, inaugurating new creation, working toward the day when shalom will be complete and permanent.</w:t>
      </w:r>
    </w:p>
    <w:p w14:paraId="29640BD0" w14:textId="77777777" w:rsidR="00804355" w:rsidRPr="00850CC8" w:rsidRDefault="00804355"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 xml:space="preserve">The Flood is a hard text. But it is not a text that contradicts God’s loving character when read with attention to its ancient context, literary function, and place within redemptive history culminating in Christ. Properly understood within the relational framework, read through the lens of Christ’s victory </w:t>
        <w:lastRenderedPageBreak/>
        <w:t>over the powers, and oriented toward new creation’s consummation, it reveals a God whose justice is real, whose patience is extraordinary, whose grief over judgment is real, whose commitment to shalom is unshakeable, and whose ultimate purpose is not destruction but redemption, comprehensive, cosmic, permanent restoration of shalom through the crucified, risen, and returning King. That is a God we can trust, even when his ways remain mysterious and the literary forms through which we encounter him raise difficult questions.</w:t>
      </w:r>
    </w:p>
    <w:p w14:paraId="7E25E5E7" w14:textId="77777777" w:rsidR="00804355" w:rsidRPr="00850CC8" w:rsidRDefault="00804355" w:rsidP="00850CC8">
      <w:pPr>
        <w:spacing w:before="480" w:after="200" w:line="276" w:lineRule="auto"/>
        <w:rPr>
          <w:rFonts w:ascii="Times New Roman" w:hAnsi="Times New Roman" w:cs="Times New Roman"/>
          <w:sz w:val="22"/>
          <w:szCs w:val="22"/>
        </w:rPr>
      </w:pPr>
      <w:r>
        <w:rPr>
          <w:rFonts w:ascii="Times New Roman" w:hAnsi="Times New Roman" w:cs="Times New Roman"/>
          <w:b/>
          <w:bCs/>
          <w:sz w:val="22"/>
          <w:szCs w:val="22"/>
        </w:rPr>
        <w:t>Notes</w:t>
      </w:r>
    </w:p>
    <w:p w14:paraId="0EF1C9BB" w14:textId="77777777" w:rsidR="00804355" w:rsidRPr="00850CC8" w:rsidRDefault="00804355" w:rsidP="00850CC8">
      <w:pPr>
        <w:spacing w:after="120" w:line="276" w:lineRule="auto"/>
        <w:ind w:left="360" w:hanging="360"/>
        <w:rPr>
          <w:rFonts w:ascii="Times New Roman" w:hAnsi="Times New Roman" w:cs="Times New Roman"/>
          <w:sz w:val="22"/>
          <w:szCs w:val="22"/>
        </w:rPr>
      </w:pPr>
      <w:r>
        <w:rPr>
          <w:rFonts w:ascii="Times New Roman" w:hAnsi="Times New Roman" w:cs="Times New Roman"/>
          <w:b/>
          <w:bCs/>
          <w:sz w:val="22"/>
          <w:szCs w:val="22"/>
        </w:rPr>
        <w:t>1. </w:t>
      </w:r>
      <w:r>
        <w:rPr>
          <w:rFonts w:ascii="Times New Roman" w:hAnsi="Times New Roman" w:cs="Times New Roman"/>
          <w:sz w:val="22"/>
          <w:szCs w:val="22"/>
        </w:rPr>
        <w:t xml:space="preserve">The primary scholarly resource informing this chapter’s reading of the Flood is Matthew J. Lynch, </w:t>
      </w:r>
      <w:r>
        <w:rPr>
          <w:rFonts w:ascii="Times New Roman" w:hAnsi="Times New Roman" w:cs="Times New Roman"/>
          <w:i/>
          <w:iCs/>
          <w:sz w:val="22"/>
          <w:szCs w:val="22"/>
        </w:rPr>
        <w:t>Flood and Fury: Old Testament Violence and the Shalom of God</w:t>
      </w:r>
      <w:r>
        <w:rPr>
          <w:rFonts w:ascii="Times New Roman" w:hAnsi="Times New Roman" w:cs="Times New Roman"/>
          <w:sz w:val="22"/>
          <w:szCs w:val="22"/>
        </w:rPr>
        <w:t xml:space="preserve"> (Downers Grove: IVP Academic, 2023). Lynch’s careful exegesis of Genesis 1–11, combined with his emphasis on reading “with the grain of the text” to discover Scripture’s own engagement with violence, has significantly influenced contemporary evangelical approaches to Old Testament violence. The Christological frame for reading the Flood is developed throughout N. T. Wright, </w:t>
      </w:r>
      <w:r>
        <w:rPr>
          <w:rFonts w:ascii="Times New Roman" w:hAnsi="Times New Roman" w:cs="Times New Roman"/>
          <w:i/>
          <w:iCs/>
          <w:sz w:val="22"/>
          <w:szCs w:val="22"/>
        </w:rPr>
        <w:t>The Day the Revolution Began: Reconsidering the Meaning of Jesus’s Crucifixion</w:t>
      </w:r>
      <w:r>
        <w:rPr>
          <w:rFonts w:ascii="Times New Roman" w:hAnsi="Times New Roman" w:cs="Times New Roman"/>
          <w:sz w:val="22"/>
          <w:szCs w:val="22"/>
        </w:rPr>
        <w:t xml:space="preserve"> (New York: HarperOne, 2016).</w:t>
      </w:r>
    </w:p>
    <w:p w14:paraId="6CD4B351" w14:textId="77777777" w:rsidR="00804355" w:rsidRPr="00850CC8" w:rsidRDefault="00804355" w:rsidP="00850CC8">
      <w:pPr>
        <w:spacing w:after="120" w:line="276" w:lineRule="auto"/>
        <w:ind w:left="360" w:hanging="360"/>
        <w:rPr>
          <w:rFonts w:ascii="Times New Roman" w:hAnsi="Times New Roman" w:cs="Times New Roman"/>
          <w:sz w:val="22"/>
          <w:szCs w:val="22"/>
        </w:rPr>
      </w:pPr>
      <w:r>
        <w:rPr>
          <w:rFonts w:ascii="Times New Roman" w:hAnsi="Times New Roman" w:cs="Times New Roman"/>
          <w:b/>
          <w:bCs/>
          <w:sz w:val="22"/>
          <w:szCs w:val="22"/>
        </w:rPr>
        <w:t>2. </w:t>
      </w:r>
      <w:r>
        <w:rPr>
          <w:rFonts w:ascii="Times New Roman" w:hAnsi="Times New Roman" w:cs="Times New Roman"/>
          <w:sz w:val="22"/>
          <w:szCs w:val="22"/>
        </w:rPr>
        <w:t xml:space="preserve">Bertrand Russell, </w:t>
      </w:r>
      <w:r>
        <w:rPr>
          <w:rFonts w:ascii="Times New Roman" w:hAnsi="Times New Roman" w:cs="Times New Roman"/>
          <w:i/>
          <w:iCs/>
          <w:sz w:val="22"/>
          <w:szCs w:val="22"/>
        </w:rPr>
        <w:t>Why I Am Not a Christian</w:t>
      </w:r>
      <w:r>
        <w:rPr>
          <w:rFonts w:ascii="Times New Roman" w:hAnsi="Times New Roman" w:cs="Times New Roman"/>
          <w:sz w:val="22"/>
          <w:szCs w:val="22"/>
        </w:rPr>
        <w:t xml:space="preserve"> (New York: Simon and Schuster, 1957), 17. Russell used the Flood narrative as a primary example of why he rejected Christianity, arguing that the story reveals a God unworthy of worship. For a sustained philosophical response to the kind of argument Russell advances, see Alvin Plantinga, </w:t>
      </w:r>
      <w:r>
        <w:rPr>
          <w:rFonts w:ascii="Times New Roman" w:hAnsi="Times New Roman" w:cs="Times New Roman"/>
          <w:i/>
          <w:iCs/>
          <w:sz w:val="22"/>
          <w:szCs w:val="22"/>
        </w:rPr>
        <w:t>God, Freedom, and Evil</w:t>
      </w:r>
      <w:r>
        <w:rPr>
          <w:rFonts w:ascii="Times New Roman" w:hAnsi="Times New Roman" w:cs="Times New Roman"/>
          <w:sz w:val="22"/>
          <w:szCs w:val="22"/>
        </w:rPr>
        <w:t xml:space="preserve"> (Grand Rapids: Eerdmans, 1974), 7–64.</w:t>
      </w:r>
    </w:p>
    <w:p w14:paraId="36F026F5" w14:textId="77777777" w:rsidR="00804355" w:rsidRPr="00850CC8" w:rsidRDefault="00804355" w:rsidP="00850CC8">
      <w:pPr>
        <w:spacing w:after="120" w:line="276" w:lineRule="auto"/>
        <w:ind w:left="360" w:hanging="360"/>
        <w:rPr>
          <w:rFonts w:ascii="Times New Roman" w:hAnsi="Times New Roman" w:cs="Times New Roman"/>
          <w:sz w:val="22"/>
          <w:szCs w:val="22"/>
        </w:rPr>
      </w:pPr>
      <w:r>
        <w:rPr>
          <w:rFonts w:ascii="Times New Roman" w:hAnsi="Times New Roman" w:cs="Times New Roman"/>
          <w:b/>
          <w:bCs/>
          <w:sz w:val="22"/>
          <w:szCs w:val="22"/>
        </w:rPr>
        <w:t>3. </w:t>
      </w:r>
      <w:r>
        <w:rPr>
          <w:rFonts w:ascii="Times New Roman" w:hAnsi="Times New Roman" w:cs="Times New Roman"/>
          <w:sz w:val="22"/>
          <w:szCs w:val="22"/>
        </w:rPr>
        <w:t xml:space="preserve">Lynch, </w:t>
      </w:r>
      <w:r>
        <w:rPr>
          <w:rFonts w:ascii="Times New Roman" w:hAnsi="Times New Roman" w:cs="Times New Roman"/>
          <w:i/>
          <w:iCs/>
          <w:sz w:val="22"/>
          <w:szCs w:val="22"/>
        </w:rPr>
        <w:t>Flood and Fury</w:t>
      </w:r>
      <w:r>
        <w:rPr>
          <w:rFonts w:ascii="Times New Roman" w:hAnsi="Times New Roman" w:cs="Times New Roman"/>
          <w:sz w:val="22"/>
          <w:szCs w:val="22"/>
        </w:rPr>
        <w:t xml:space="preserve">, 23–41. Lynch’s framing of Genesis 1‑2 as establishing shalom as creation’s normative condition, against which the violence of Genesis 3–11 must be read as deviation, draws on the broader biblical theology of shalom developed in Cornelius Plantinga Jr., </w:t>
      </w:r>
      <w:r>
        <w:rPr>
          <w:rFonts w:ascii="Times New Roman" w:hAnsi="Times New Roman" w:cs="Times New Roman"/>
          <w:i/>
          <w:iCs/>
          <w:sz w:val="22"/>
          <w:szCs w:val="22"/>
        </w:rPr>
        <w:t>Not the Way It’s Supposed to Be: A Breviary of Sin</w:t>
      </w:r>
      <w:r>
        <w:rPr>
          <w:rFonts w:ascii="Times New Roman" w:hAnsi="Times New Roman" w:cs="Times New Roman"/>
          <w:sz w:val="22"/>
          <w:szCs w:val="22"/>
        </w:rPr>
        <w:t xml:space="preserve"> (Grand Rapids: Eerdmans, 1995), 7–12.</w:t>
      </w:r>
    </w:p>
    <w:p w14:paraId="36135AA6" w14:textId="77777777" w:rsidR="00804355" w:rsidRPr="00850CC8" w:rsidRDefault="00804355" w:rsidP="00850CC8">
      <w:pPr>
        <w:spacing w:after="120" w:line="276" w:lineRule="auto"/>
        <w:ind w:left="360" w:hanging="360"/>
        <w:rPr>
          <w:rFonts w:ascii="Times New Roman" w:hAnsi="Times New Roman" w:cs="Times New Roman"/>
          <w:sz w:val="22"/>
          <w:szCs w:val="22"/>
        </w:rPr>
      </w:pPr>
      <w:r>
        <w:rPr>
          <w:rFonts w:ascii="Times New Roman" w:hAnsi="Times New Roman" w:cs="Times New Roman"/>
          <w:b/>
          <w:bCs/>
          <w:sz w:val="22"/>
          <w:szCs w:val="22"/>
        </w:rPr>
        <w:t>4. </w:t>
      </w:r>
      <w:r>
        <w:rPr>
          <w:rFonts w:ascii="Times New Roman" w:hAnsi="Times New Roman" w:cs="Times New Roman"/>
          <w:sz w:val="22"/>
          <w:szCs w:val="22"/>
        </w:rPr>
        <w:t xml:space="preserve">The Hebrew term </w:t>
      </w:r>
      <w:r>
        <w:rPr>
          <w:rFonts w:ascii="Times New Roman" w:hAnsi="Times New Roman" w:cs="Times New Roman"/>
          <w:i/>
          <w:iCs/>
          <w:sz w:val="22"/>
          <w:szCs w:val="22"/>
        </w:rPr>
        <w:t>hamas</w:t>
      </w:r>
      <w:r>
        <w:rPr>
          <w:rFonts w:ascii="Times New Roman" w:hAnsi="Times New Roman" w:cs="Times New Roman"/>
          <w:sz w:val="22"/>
          <w:szCs w:val="22"/>
        </w:rPr>
        <w:t xml:space="preserve"> (חָמָס) denotes violence, wrongdoing, cruelty, and injustice. It appears throughout the Old Testament to describe acts that tear at the social fabric and violate the created order. See Genesis 6:11, 13; Habakkuk 1:2–3; Ezekiel 7:23. For the semantic range of the term, see John E. Hartley, “</w:t>
      </w:r>
      <w:r>
        <w:rPr>
          <w:rFonts w:ascii="Times New Roman" w:hAnsi="Times New Roman" w:cs="Times New Roman"/>
          <w:i/>
          <w:iCs/>
          <w:sz w:val="22"/>
          <w:szCs w:val="22"/>
        </w:rPr>
        <w:t>hamas</w:t>
      </w:r>
      <w:r>
        <w:rPr>
          <w:rFonts w:ascii="Times New Roman" w:hAnsi="Times New Roman" w:cs="Times New Roman"/>
          <w:sz w:val="22"/>
          <w:szCs w:val="22"/>
        </w:rPr>
        <w:t xml:space="preserve">,” in </w:t>
      </w:r>
      <w:r>
        <w:rPr>
          <w:rFonts w:ascii="Times New Roman" w:hAnsi="Times New Roman" w:cs="Times New Roman"/>
          <w:i/>
          <w:iCs/>
          <w:sz w:val="22"/>
          <w:szCs w:val="22"/>
        </w:rPr>
        <w:t>New International Dictionary of Old Testament Theology and Exegesis</w:t>
      </w:r>
      <w:r>
        <w:rPr>
          <w:rFonts w:ascii="Times New Roman" w:hAnsi="Times New Roman" w:cs="Times New Roman"/>
          <w:sz w:val="22"/>
          <w:szCs w:val="22"/>
        </w:rPr>
        <w:t>, ed. Willem A. VanGemeren (Grand Rapids: Zondervan, 1997), 2:177–179.</w:t>
      </w:r>
    </w:p>
    <w:p w14:paraId="1F895D63" w14:textId="77777777" w:rsidR="00804355" w:rsidRPr="00850CC8" w:rsidRDefault="00804355" w:rsidP="00850CC8">
      <w:pPr>
        <w:spacing w:after="120" w:line="276" w:lineRule="auto"/>
        <w:ind w:left="360" w:hanging="360"/>
        <w:rPr>
          <w:rFonts w:ascii="Times New Roman" w:hAnsi="Times New Roman" w:cs="Times New Roman"/>
          <w:sz w:val="22"/>
          <w:szCs w:val="22"/>
        </w:rPr>
      </w:pPr>
      <w:r>
        <w:rPr>
          <w:rFonts w:ascii="Times New Roman" w:hAnsi="Times New Roman" w:cs="Times New Roman"/>
          <w:b/>
          <w:bCs/>
          <w:sz w:val="22"/>
          <w:szCs w:val="22"/>
        </w:rPr>
        <w:t>5. </w:t>
      </w:r>
      <w:r>
        <w:rPr>
          <w:rFonts w:ascii="Times New Roman" w:hAnsi="Times New Roman" w:cs="Times New Roman"/>
          <w:sz w:val="22"/>
          <w:szCs w:val="22"/>
        </w:rPr>
        <w:t xml:space="preserve">The Epic of Gilgamesh, dating to approximately 2100 BCE in its earliest form, contains a detailed flood narrative in Tablet XI. The most accessible scholarly discussion of the parallels and differences remains Andrew George, </w:t>
      </w:r>
      <w:r>
        <w:rPr>
          <w:rFonts w:ascii="Times New Roman" w:hAnsi="Times New Roman" w:cs="Times New Roman"/>
          <w:i/>
          <w:iCs/>
          <w:sz w:val="22"/>
          <w:szCs w:val="22"/>
        </w:rPr>
        <w:t>The Epic of Gilgamesh: The Babylonian Epic Poem and Other Texts in Akkadian and Sumerian</w:t>
      </w:r>
      <w:r>
        <w:rPr>
          <w:rFonts w:ascii="Times New Roman" w:hAnsi="Times New Roman" w:cs="Times New Roman"/>
          <w:sz w:val="22"/>
          <w:szCs w:val="22"/>
        </w:rPr>
        <w:t xml:space="preserve">, rev. ed. (London: Penguin, 2003). For the theological significance of the parallels and differences for Genesis interpretation, see Gordon J. Wenham, </w:t>
      </w:r>
      <w:r>
        <w:rPr>
          <w:rFonts w:ascii="Times New Roman" w:hAnsi="Times New Roman" w:cs="Times New Roman"/>
          <w:i/>
          <w:iCs/>
          <w:sz w:val="22"/>
          <w:szCs w:val="22"/>
        </w:rPr>
        <w:t>Genesis 1–15</w:t>
      </w:r>
      <w:r>
        <w:rPr>
          <w:rFonts w:ascii="Times New Roman" w:hAnsi="Times New Roman" w:cs="Times New Roman"/>
          <w:sz w:val="22"/>
          <w:szCs w:val="22"/>
        </w:rPr>
        <w:t xml:space="preserve"> (Word Biblical Commentary; Waco: Word, 1987), 158–166.</w:t>
      </w:r>
    </w:p>
    <w:p w14:paraId="73D05296" w14:textId="77777777" w:rsidR="00804355" w:rsidRPr="00850CC8" w:rsidRDefault="00804355" w:rsidP="00850CC8">
      <w:pPr>
        <w:spacing w:after="120" w:line="276" w:lineRule="auto"/>
        <w:ind w:left="360" w:hanging="360"/>
        <w:rPr>
          <w:rFonts w:ascii="Times New Roman" w:hAnsi="Times New Roman" w:cs="Times New Roman"/>
          <w:sz w:val="22"/>
          <w:szCs w:val="22"/>
        </w:rPr>
      </w:pPr>
      <w:r>
        <w:rPr>
          <w:rFonts w:ascii="Times New Roman" w:hAnsi="Times New Roman" w:cs="Times New Roman"/>
          <w:b/>
          <w:bCs/>
          <w:sz w:val="22"/>
          <w:szCs w:val="22"/>
        </w:rPr>
        <w:t>6. </w:t>
      </w:r>
      <w:r>
        <w:rPr>
          <w:rFonts w:ascii="Times New Roman" w:hAnsi="Times New Roman" w:cs="Times New Roman"/>
          <w:sz w:val="22"/>
          <w:szCs w:val="22"/>
        </w:rPr>
        <w:t xml:space="preserve">The majority report / minority report framework as applied to conquest narratives is developed in K. Lawson Younger Jr., </w:t>
      </w:r>
      <w:r>
        <w:rPr>
          <w:rFonts w:ascii="Times New Roman" w:hAnsi="Times New Roman" w:cs="Times New Roman"/>
          <w:i/>
          <w:iCs/>
          <w:sz w:val="22"/>
          <w:szCs w:val="22"/>
        </w:rPr>
        <w:t>Ancient Conquest Accounts: A Study in Ancient Near Eastern and Biblical History Writing</w:t>
      </w:r>
      <w:r>
        <w:rPr>
          <w:rFonts w:ascii="Times New Roman" w:hAnsi="Times New Roman" w:cs="Times New Roman"/>
          <w:sz w:val="22"/>
          <w:szCs w:val="22"/>
        </w:rPr>
        <w:t xml:space="preserve"> (Sheffield: Sheffield Academic Press, 1990), 210–245, and applied to the Flood by Lynch, </w:t>
      </w:r>
      <w:r>
        <w:rPr>
          <w:rFonts w:ascii="Times New Roman" w:hAnsi="Times New Roman" w:cs="Times New Roman"/>
          <w:i/>
          <w:iCs/>
          <w:sz w:val="22"/>
          <w:szCs w:val="22"/>
        </w:rPr>
        <w:t>Flood and Fury</w:t>
      </w:r>
      <w:r>
        <w:rPr>
          <w:rFonts w:ascii="Times New Roman" w:hAnsi="Times New Roman" w:cs="Times New Roman"/>
          <w:sz w:val="22"/>
          <w:szCs w:val="22"/>
        </w:rPr>
        <w:t>, 55–78. Younger’s analysis demonstrates how ancient Near Eastern texts regularly employ hyperbolic, universal language as conventional expressions of thoroughness rather than literal descriptions, a pattern evident in both conquest narratives and flood accounts.</w:t>
      </w:r>
    </w:p>
    <w:p w14:paraId="19FD4A77" w14:textId="77777777" w:rsidR="00804355" w:rsidRPr="00850CC8" w:rsidRDefault="00804355" w:rsidP="00850CC8">
      <w:pPr>
        <w:spacing w:after="120" w:line="276" w:lineRule="auto"/>
        <w:ind w:left="360" w:hanging="360"/>
        <w:rPr>
          <w:rFonts w:ascii="Times New Roman" w:hAnsi="Times New Roman" w:cs="Times New Roman"/>
          <w:sz w:val="22"/>
          <w:szCs w:val="22"/>
        </w:rPr>
      </w:pPr>
      <w:r>
        <w:rPr>
          <w:rFonts w:ascii="Times New Roman" w:hAnsi="Times New Roman" w:cs="Times New Roman"/>
          <w:b/>
          <w:bCs/>
          <w:sz w:val="22"/>
          <w:szCs w:val="22"/>
        </w:rPr>
        <w:lastRenderedPageBreak/>
        <w:t>7. </w:t>
      </w:r>
      <w:r>
        <w:rPr>
          <w:rFonts w:ascii="Times New Roman" w:hAnsi="Times New Roman" w:cs="Times New Roman"/>
          <w:sz w:val="22"/>
          <w:szCs w:val="22"/>
        </w:rPr>
        <w:t xml:space="preserve">For comprehensive analysis of the Genesis flood narrative in its ancient Near Eastern context, see John H. Walton, </w:t>
      </w:r>
      <w:r>
        <w:rPr>
          <w:rFonts w:ascii="Times New Roman" w:hAnsi="Times New Roman" w:cs="Times New Roman"/>
          <w:i/>
          <w:iCs/>
          <w:sz w:val="22"/>
          <w:szCs w:val="22"/>
        </w:rPr>
        <w:t>The Lost World of the Flood: Mythology, Theology, and the Deluge Debate</w:t>
      </w:r>
      <w:r>
        <w:rPr>
          <w:rFonts w:ascii="Times New Roman" w:hAnsi="Times New Roman" w:cs="Times New Roman"/>
          <w:sz w:val="22"/>
          <w:szCs w:val="22"/>
        </w:rPr>
        <w:t xml:space="preserve"> (Downers Grove: IVP Academic, 2018). Walton examines how Genesis transforms common flood motifs into theological statements about divine justice and covenant faithfulness. For the question of the flood’s geographic extent, see also Tremper Longman III and John H. Walton, </w:t>
      </w:r>
      <w:r>
        <w:rPr>
          <w:rFonts w:ascii="Times New Roman" w:hAnsi="Times New Roman" w:cs="Times New Roman"/>
          <w:i/>
          <w:iCs/>
          <w:sz w:val="22"/>
          <w:szCs w:val="22"/>
        </w:rPr>
        <w:t>The Lost World of the Flood</w:t>
      </w:r>
      <w:r>
        <w:rPr>
          <w:rFonts w:ascii="Times New Roman" w:hAnsi="Times New Roman" w:cs="Times New Roman"/>
          <w:sz w:val="22"/>
          <w:szCs w:val="22"/>
        </w:rPr>
        <w:t>, 97–120.</w:t>
      </w:r>
    </w:p>
    <w:p w14:paraId="251E8861" w14:textId="77777777" w:rsidR="00804355" w:rsidRPr="00850CC8" w:rsidRDefault="00804355" w:rsidP="00850CC8">
      <w:pPr>
        <w:spacing w:after="120" w:line="276" w:lineRule="auto"/>
        <w:ind w:left="360" w:hanging="360"/>
        <w:rPr>
          <w:rFonts w:ascii="Times New Roman" w:hAnsi="Times New Roman" w:cs="Times New Roman"/>
          <w:sz w:val="22"/>
          <w:szCs w:val="22"/>
        </w:rPr>
      </w:pPr>
      <w:r>
        <w:rPr>
          <w:rFonts w:ascii="Times New Roman" w:hAnsi="Times New Roman" w:cs="Times New Roman"/>
          <w:b/>
          <w:bCs/>
          <w:sz w:val="22"/>
          <w:szCs w:val="22"/>
        </w:rPr>
        <w:t>8. </w:t>
      </w:r>
      <w:r>
        <w:rPr>
          <w:rFonts w:ascii="Times New Roman" w:hAnsi="Times New Roman" w:cs="Times New Roman"/>
          <w:sz w:val="22"/>
          <w:szCs w:val="22"/>
        </w:rPr>
        <w:t xml:space="preserve">The literary structure of Genesis 6–9 deliberately mirrors Genesis 1. Where creation involves separating waters to create dry land (Genesis 1:6–10), the Flood involves waters covering the earth and erasing those distinctions (Genesis 7:11). Where creation culminates in God’s blessing (Genesis 1:28), the Flood narrative culminates in renewed blessing after judgment (Genesis 9:1). This structural parallel signals that the Flood functions as uncreation followed by recreation. See Gordon Wenham, “The Coherence of the Flood Narrative,” </w:t>
      </w:r>
      <w:r>
        <w:rPr>
          <w:rFonts w:ascii="Times New Roman" w:hAnsi="Times New Roman" w:cs="Times New Roman"/>
          <w:i/>
          <w:iCs/>
          <w:sz w:val="22"/>
          <w:szCs w:val="22"/>
        </w:rPr>
        <w:t>Vetus Testamentum</w:t>
      </w:r>
      <w:r>
        <w:rPr>
          <w:rFonts w:ascii="Times New Roman" w:hAnsi="Times New Roman" w:cs="Times New Roman"/>
          <w:sz w:val="22"/>
          <w:szCs w:val="22"/>
        </w:rPr>
        <w:t xml:space="preserve"> 28, no. 3 (1978): 336–348.</w:t>
      </w:r>
    </w:p>
    <w:p w14:paraId="1F62C037" w14:textId="77777777" w:rsidR="00804355" w:rsidRPr="00850CC8" w:rsidRDefault="00804355" w:rsidP="00850CC8">
      <w:pPr>
        <w:spacing w:after="120" w:line="276" w:lineRule="auto"/>
        <w:ind w:left="360" w:hanging="360"/>
        <w:rPr>
          <w:rFonts w:ascii="Times New Roman" w:hAnsi="Times New Roman" w:cs="Times New Roman"/>
          <w:sz w:val="22"/>
          <w:szCs w:val="22"/>
        </w:rPr>
      </w:pPr>
      <w:r>
        <w:rPr>
          <w:rFonts w:ascii="Times New Roman" w:hAnsi="Times New Roman" w:cs="Times New Roman"/>
          <w:b/>
          <w:bCs/>
          <w:sz w:val="22"/>
          <w:szCs w:val="22"/>
        </w:rPr>
        <w:t>9. </w:t>
      </w:r>
      <w:r>
        <w:rPr>
          <w:rFonts w:ascii="Times New Roman" w:hAnsi="Times New Roman" w:cs="Times New Roman"/>
          <w:sz w:val="22"/>
          <w:szCs w:val="22"/>
        </w:rPr>
        <w:t xml:space="preserve">Jon D. Levenson, </w:t>
      </w:r>
      <w:r>
        <w:rPr>
          <w:rFonts w:ascii="Times New Roman" w:hAnsi="Times New Roman" w:cs="Times New Roman"/>
          <w:i/>
          <w:iCs/>
          <w:sz w:val="22"/>
          <w:szCs w:val="22"/>
        </w:rPr>
        <w:t>Creation and the Persistence of Evil: The Jewish Drama of Divine Omnipotence</w:t>
      </w:r>
      <w:r>
        <w:rPr>
          <w:rFonts w:ascii="Times New Roman" w:hAnsi="Times New Roman" w:cs="Times New Roman"/>
          <w:sz w:val="22"/>
          <w:szCs w:val="22"/>
        </w:rPr>
        <w:t xml:space="preserve"> (Princeton: Princeton University Press, 1988), 3–25. Levenson argues that biblical creation is portrayed as an ongoing divine project requiring God’s active maintenance against chaos, rather than as a finished product that simply continues by inertia. This framework significantly shapes how judgment narratives like the Flood are to be read.</w:t>
      </w:r>
    </w:p>
    <w:p w14:paraId="2A74C2B1" w14:textId="77777777" w:rsidR="00804355" w:rsidRPr="00850CC8" w:rsidRDefault="00804355" w:rsidP="00850CC8">
      <w:pPr>
        <w:spacing w:after="120" w:line="276" w:lineRule="auto"/>
        <w:ind w:left="360" w:hanging="360"/>
        <w:rPr>
          <w:rFonts w:ascii="Times New Roman" w:hAnsi="Times New Roman" w:cs="Times New Roman"/>
          <w:sz w:val="22"/>
          <w:szCs w:val="22"/>
        </w:rPr>
      </w:pPr>
      <w:r>
        <w:rPr>
          <w:rFonts w:ascii="Times New Roman" w:hAnsi="Times New Roman" w:cs="Times New Roman"/>
          <w:b/>
          <w:bCs/>
          <w:sz w:val="22"/>
          <w:szCs w:val="22"/>
        </w:rPr>
        <w:t>10. </w:t>
      </w:r>
      <w:r>
        <w:rPr>
          <w:rFonts w:ascii="Times New Roman" w:hAnsi="Times New Roman" w:cs="Times New Roman"/>
          <w:sz w:val="22"/>
          <w:szCs w:val="22"/>
        </w:rPr>
        <w:t xml:space="preserve">The rainbow covenant in Genesis 9:8–17 is remarkable for its unconditional nature and universal scope. God establishes this covenant not only with Noah but with “every living creature,” and he makes it perpetual: “for all future generations” (9:12). The rainbow functions as a visible reminder to God himself, not merely to humanity, emphasizing God’s self-binding commitment to preserve creation despite continuing human sin. For the theological significance of the Noahic covenant as the foundation for universal moral order, see William J. Dumbrell, </w:t>
      </w:r>
      <w:r>
        <w:rPr>
          <w:rFonts w:ascii="Times New Roman" w:hAnsi="Times New Roman" w:cs="Times New Roman"/>
          <w:i/>
          <w:iCs/>
          <w:sz w:val="22"/>
          <w:szCs w:val="22"/>
        </w:rPr>
        <w:t>Covenant and Creation: An Old Testament Covenantal Theology</w:t>
      </w:r>
      <w:r>
        <w:rPr>
          <w:rFonts w:ascii="Times New Roman" w:hAnsi="Times New Roman" w:cs="Times New Roman"/>
          <w:sz w:val="22"/>
          <w:szCs w:val="22"/>
        </w:rPr>
        <w:t xml:space="preserve"> (Exeter: Paternoster, 1984), 11–43.</w:t>
      </w:r>
    </w:p>
    <w:p w14:paraId="5C5DC96E" w14:textId="77777777" w:rsidR="00804355" w:rsidRPr="00850CC8" w:rsidRDefault="00804355" w:rsidP="00850CC8">
      <w:pPr>
        <w:spacing w:after="120" w:line="276" w:lineRule="auto"/>
        <w:ind w:left="360" w:hanging="360"/>
        <w:rPr>
          <w:rFonts w:ascii="Times New Roman" w:hAnsi="Times New Roman" w:cs="Times New Roman"/>
          <w:sz w:val="22"/>
          <w:szCs w:val="22"/>
        </w:rPr>
      </w:pPr>
      <w:r>
        <w:rPr>
          <w:rFonts w:ascii="Times New Roman" w:hAnsi="Times New Roman" w:cs="Times New Roman"/>
          <w:b/>
          <w:bCs/>
          <w:sz w:val="22"/>
          <w:szCs w:val="22"/>
        </w:rPr>
        <w:t>11. </w:t>
      </w:r>
      <w:r>
        <w:rPr>
          <w:rFonts w:ascii="Times New Roman" w:hAnsi="Times New Roman" w:cs="Times New Roman"/>
          <w:sz w:val="22"/>
          <w:szCs w:val="22"/>
        </w:rPr>
        <w:t xml:space="preserve">Terence E. Fretheim, “The Book of Genesis,” in </w:t>
      </w:r>
      <w:r>
        <w:rPr>
          <w:rFonts w:ascii="Times New Roman" w:hAnsi="Times New Roman" w:cs="Times New Roman"/>
          <w:i/>
          <w:iCs/>
          <w:sz w:val="22"/>
          <w:szCs w:val="22"/>
        </w:rPr>
        <w:t>The New Interpreter’s Bible</w:t>
      </w:r>
      <w:r>
        <w:rPr>
          <w:rFonts w:ascii="Times New Roman" w:hAnsi="Times New Roman" w:cs="Times New Roman"/>
          <w:sz w:val="22"/>
          <w:szCs w:val="22"/>
        </w:rPr>
        <w:t xml:space="preserve">, vol. 1 (Nashville: Abingdon Press, 1994), 379–394. Fretheim emphasizes that the Flood narrative portrays God as truly grieved by the necessity of judgment, demonstrating that divine justice and divine sorrow coexist rather than contradict. For the theological significance of divine grief in the Old Testament more broadly, see Fretheim’s </w:t>
      </w:r>
      <w:r>
        <w:rPr>
          <w:rFonts w:ascii="Times New Roman" w:hAnsi="Times New Roman" w:cs="Times New Roman"/>
          <w:i/>
          <w:iCs/>
          <w:sz w:val="22"/>
          <w:szCs w:val="22"/>
        </w:rPr>
        <w:t>The Suffering of God: An Old Testament Perspective</w:t>
      </w:r>
      <w:r>
        <w:rPr>
          <w:rFonts w:ascii="Times New Roman" w:hAnsi="Times New Roman" w:cs="Times New Roman"/>
          <w:sz w:val="22"/>
          <w:szCs w:val="22"/>
        </w:rPr>
        <w:t xml:space="preserve"> (Philadelphia: Fortress, 1984).</w:t>
      </w:r>
    </w:p>
    <w:p w14:paraId="15056598" w14:textId="77777777" w:rsidR="00804355" w:rsidRPr="00850CC8" w:rsidRDefault="00804355" w:rsidP="00850CC8">
      <w:pPr>
        <w:spacing w:after="120" w:line="276" w:lineRule="auto"/>
        <w:ind w:left="360" w:hanging="360"/>
        <w:rPr>
          <w:rFonts w:ascii="Times New Roman" w:hAnsi="Times New Roman" w:cs="Times New Roman"/>
          <w:sz w:val="22"/>
          <w:szCs w:val="22"/>
        </w:rPr>
      </w:pPr>
      <w:r>
        <w:rPr>
          <w:rFonts w:ascii="Times New Roman" w:hAnsi="Times New Roman" w:cs="Times New Roman"/>
          <w:b/>
          <w:bCs/>
          <w:sz w:val="22"/>
          <w:szCs w:val="22"/>
        </w:rPr>
        <w:t>12. </w:t>
      </w:r>
      <w:r>
        <w:rPr>
          <w:rFonts w:ascii="Times New Roman" w:hAnsi="Times New Roman" w:cs="Times New Roman"/>
          <w:sz w:val="22"/>
          <w:szCs w:val="22"/>
        </w:rPr>
        <w:t xml:space="preserve">1 Peter 3:18–22 develops the typological connection between the Flood and baptism, both involving passage through water leading to salvation. The ark becomes a type of Christ: those “in” the ark are saved through the judgment waters, just as those “in” Christ are saved through the judgment he bore. For the exegetical details of this typology, see Karen H. Jobes, </w:t>
      </w:r>
      <w:r>
        <w:rPr>
          <w:rFonts w:ascii="Times New Roman" w:hAnsi="Times New Roman" w:cs="Times New Roman"/>
          <w:i/>
          <w:iCs/>
          <w:sz w:val="22"/>
          <w:szCs w:val="22"/>
        </w:rPr>
        <w:t>1 Peter</w:t>
      </w:r>
      <w:r>
        <w:rPr>
          <w:rFonts w:ascii="Times New Roman" w:hAnsi="Times New Roman" w:cs="Times New Roman"/>
          <w:sz w:val="22"/>
          <w:szCs w:val="22"/>
        </w:rPr>
        <w:t xml:space="preserve"> (Baker Exegetical Commentary; Grand Rapids: Baker Academic, 2005), 255–266.</w:t>
      </w:r>
    </w:p>
    <w:p w14:paraId="0B172986" w14:textId="77777777" w:rsidR="00804355" w:rsidRPr="00850CC8" w:rsidRDefault="00804355" w:rsidP="00850CC8">
      <w:pPr>
        <w:spacing w:after="120" w:line="276" w:lineRule="auto"/>
        <w:ind w:left="360" w:hanging="360"/>
        <w:rPr>
          <w:rFonts w:ascii="Times New Roman" w:hAnsi="Times New Roman" w:cs="Times New Roman"/>
          <w:sz w:val="22"/>
          <w:szCs w:val="22"/>
        </w:rPr>
      </w:pPr>
      <w:r>
        <w:rPr>
          <w:rFonts w:ascii="Times New Roman" w:hAnsi="Times New Roman" w:cs="Times New Roman"/>
          <w:b/>
          <w:bCs/>
          <w:sz w:val="22"/>
          <w:szCs w:val="22"/>
        </w:rPr>
        <w:t>13. </w:t>
      </w:r>
      <w:r>
        <w:rPr>
          <w:rFonts w:ascii="Times New Roman" w:hAnsi="Times New Roman" w:cs="Times New Roman"/>
          <w:sz w:val="22"/>
          <w:szCs w:val="22"/>
        </w:rPr>
        <w:t xml:space="preserve">Wright, </w:t>
      </w:r>
      <w:r>
        <w:rPr>
          <w:rFonts w:ascii="Times New Roman" w:hAnsi="Times New Roman" w:cs="Times New Roman"/>
          <w:i/>
          <w:iCs/>
          <w:sz w:val="22"/>
          <w:szCs w:val="22"/>
        </w:rPr>
        <w:t>The Day the Revolution Began</w:t>
      </w:r>
      <w:r>
        <w:rPr>
          <w:rFonts w:ascii="Times New Roman" w:hAnsi="Times New Roman" w:cs="Times New Roman"/>
          <w:sz w:val="22"/>
          <w:szCs w:val="22"/>
        </w:rPr>
        <w:t xml:space="preserve">, 53–74. Wright’s comprehensive treatment of the cross as God’s victory over the powers provides the theological framework for understanding how Christ’s death transforms the problem the Flood exposes. See also N. T. Wright, </w:t>
      </w:r>
      <w:r>
        <w:rPr>
          <w:rFonts w:ascii="Times New Roman" w:hAnsi="Times New Roman" w:cs="Times New Roman"/>
          <w:i/>
          <w:iCs/>
          <w:sz w:val="22"/>
          <w:szCs w:val="22"/>
        </w:rPr>
        <w:t>Jesus and the Victory of God</w:t>
      </w:r>
      <w:r>
        <w:rPr>
          <w:rFonts w:ascii="Times New Roman" w:hAnsi="Times New Roman" w:cs="Times New Roman"/>
          <w:sz w:val="22"/>
          <w:szCs w:val="22"/>
        </w:rPr>
        <w:t xml:space="preserve"> (Minneapolis: Fortress Press, 1996), 540–611, for his development of Jesus’ understanding of his mission as defeating evil and inaugurating new creation. For the “powers and principalities” dimension specifically, see Wright’s commentary on Colossians 2:15 in </w:t>
      </w:r>
      <w:r>
        <w:rPr>
          <w:rFonts w:ascii="Times New Roman" w:hAnsi="Times New Roman" w:cs="Times New Roman"/>
          <w:i/>
          <w:iCs/>
          <w:sz w:val="22"/>
          <w:szCs w:val="22"/>
        </w:rPr>
        <w:t>Colossians and Philemon</w:t>
      </w:r>
      <w:r>
        <w:rPr>
          <w:rFonts w:ascii="Times New Roman" w:hAnsi="Times New Roman" w:cs="Times New Roman"/>
          <w:sz w:val="22"/>
          <w:szCs w:val="22"/>
        </w:rPr>
        <w:t xml:space="preserve"> (Tyndale New Testament Commentaries; Grand Rapids: Eerdmans, 1986), 113–119.</w:t>
      </w:r>
    </w:p>
    <w:p w14:paraId="1303637C" w14:textId="11689850" w:rsidR="00804355" w:rsidRPr="00850CC8" w:rsidRDefault="00804355" w:rsidP="00850CC8">
      <w:pPr>
        <w:spacing w:line="276" w:lineRule="auto"/>
        <w:rPr>
          <w:rFonts w:ascii="Times New Roman" w:hAnsi="Times New Roman" w:cs="Times New Roman"/>
          <w:sz w:val="22"/>
          <w:szCs w:val="22"/>
        </w:rPr>
      </w:pPr>
      <w:r>
        <w:rPr>
          <w:rFonts w:ascii="Times New Roman" w:hAnsi="Times New Roman" w:cs="Times New Roman"/>
          <w:sz w:val="22"/>
          <w:szCs w:val="22"/>
        </w:rPr>
        <w:lastRenderedPageBreak/>
        <w:br w:type="page"/>
      </w:r>
    </w:p>
    <w:p w14:paraId="57C0A3BE" w14:textId="77777777" w:rsidR="002A63A2" w:rsidRPr="00850CC8" w:rsidRDefault="002A63A2" w:rsidP="00850CC8">
      <w:pPr>
        <w:pStyle w:val="Heading1"/>
        <w:spacing w:after="120" w:line="276" w:lineRule="auto"/>
        <w:jc w:val="center"/>
        <w:rPr>
          <w:rFonts w:ascii="Times New Roman" w:hAnsi="Times New Roman" w:cs="Times New Roman"/>
          <w:sz w:val="22"/>
          <w:szCs w:val="22"/>
        </w:rPr>
      </w:pPr>
      <w:bookmarkStart w:id="31" w:name="_Toc228335837"/>
      <w:r>
        <w:rPr>
          <w:rFonts w:ascii="Times New Roman" w:hAnsi="Times New Roman" w:cs="Times New Roman"/>
          <w:sz w:val="22"/>
          <w:szCs w:val="22"/>
        </w:rPr>
        <w:lastRenderedPageBreak/>
        <w:t>Chapter Ten</w:t>
      </w:r>
      <w:bookmarkEnd w:id="31"/>
    </w:p>
    <w:p w14:paraId="14569D32" w14:textId="77777777" w:rsidR="002A63A2" w:rsidRPr="00850CC8" w:rsidRDefault="002A63A2" w:rsidP="00850CC8">
      <w:pPr>
        <w:pStyle w:val="Heading1"/>
        <w:spacing w:after="320" w:line="276" w:lineRule="auto"/>
        <w:jc w:val="center"/>
        <w:rPr>
          <w:rFonts w:ascii="Times New Roman" w:hAnsi="Times New Roman" w:cs="Times New Roman"/>
          <w:sz w:val="22"/>
          <w:szCs w:val="22"/>
        </w:rPr>
      </w:pPr>
      <w:bookmarkStart w:id="32" w:name="_Toc228335838"/>
      <w:r>
        <w:rPr>
          <w:rFonts w:ascii="Times New Roman" w:hAnsi="Times New Roman" w:cs="Times New Roman"/>
          <w:sz w:val="22"/>
          <w:szCs w:val="22"/>
        </w:rPr>
        <w:t>The Imprecatory Psalms: Prayer, Justice, and the Problem of Cursing</w:t>
      </w:r>
      <w:bookmarkEnd w:id="32"/>
    </w:p>
    <w:p w14:paraId="59D95397" w14:textId="77777777" w:rsidR="002A63A2" w:rsidRPr="00850CC8" w:rsidRDefault="002A63A2"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The two preceding chapters tested the relational framework against divine action: God commanding the destruction of Canaanite populations, God executing judgment through the waters of the flood. The imprecatory psalms present a different kind of challenge. Here the difficulty is not what God did but what his people were moved to pray. These are not historical accounts to be interpreted at a distance; they are liturgical texts, preserved in the church’s prayer book, that have shaped how believers address God for more than two millennia. The question they raise is not primarily about divine justice but about the character of honest prayer.</w:t>
      </w:r>
    </w:p>
    <w:p w14:paraId="0168AC30" w14:textId="77777777" w:rsidR="002A63A2" w:rsidRPr="00850CC8" w:rsidRDefault="002A63A2"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The argument of this book has grounded moral obligation in the prior love of a God whose inner life is constituted by perichoretic self-giving. That same prior love creates a people who are known by name, drawn into covenant, and made responsible to God in a way that no creature standing at a distance can be. Covenant relationship, as the preceding chapters have shown, does not produce uniformity of obligation but a heightened accountability and a corresponding depth of intimacy. It is precisely that intimacy which makes these psalms possible. Only those who know themselves to be truly known can pray with this kind of naked honesty. Only those who have been addressed by a God who takes persons seriously in their concreteness can bring before him the full register of what it is to be human, including the rage, the longing for vindication, and the desire that evil be answered with its equivalent in suffering.</w:t>
      </w:r>
    </w:p>
    <w:p w14:paraId="27A2693B" w14:textId="77777777" w:rsidR="002A63A2" w:rsidRPr="00850CC8" w:rsidRDefault="002A63A2"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What these psalms model, at their deepest level, is not a lower standard of ethics but a higher standard of honesty. They refuse the sanitizing of prayer that reduces faith to what is comfortable and presentable. Understood within their covenant context, read in light of the New Testament’s transformation of the justice theme, and held within the framework of a God whose prior love is always oriented toward the restoration of shalom, they prove to be not the embarrassment of Scripture but among its most pastorally indispensable texts.</w:t>
      </w:r>
    </w:p>
    <w:p w14:paraId="1CABD454" w14:textId="77777777" w:rsidR="002A63A2" w:rsidRPr="00850CC8" w:rsidRDefault="002A63A2"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The conquest narratives trouble us because God commands violence. The Flood troubles us because God executes comprehensive judgment. But the imprecatory psalms trouble us in a different way.</w:t>
      </w:r>
    </w:p>
    <w:p w14:paraId="06FD5BF8" w14:textId="77777777" w:rsidR="002A63A2" w:rsidRPr="00850CC8" w:rsidRDefault="002A63A2"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These psalms show God’s people praying for violence, asking God to destroy their enemies, calling down curses on those who oppose them. They are not historical accounts of what God did, but liturgical texts, prayers that have shaped how believing communities address God for over two millennia. And some of their content is shocking. “O daughter of Babylon, doomed to be destroyed, blessed shall he be who takes your little ones and dashes them against the rock!” (Psalm 137:9). How can such words be Scripture? How can they be prayer?</w:t>
      </w:r>
    </w:p>
    <w:p w14:paraId="40BDF2D4" w14:textId="77777777" w:rsidR="002A63A2" w:rsidRPr="00850CC8" w:rsidRDefault="002A63A2"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The imprecatory psalms have been a source of embarrassment throughout Christian history. C. S. Lewis called them the “terrible” or “cursing” psalms and confessed they presented real difficulties for him: “In some of the Psalms the spirit of hatred which strikes us in the face is like the heat from a furnace mouth.”</w:t>
      </w:r>
      <w:r>
        <w:rPr>
          <w:rFonts w:ascii="Times New Roman" w:hAnsi="Times New Roman" w:cs="Times New Roman"/>
          <w:sz w:val="22"/>
          <w:szCs w:val="22"/>
          <w:vertAlign w:val="superscript"/>
        </w:rPr>
        <w:t>1</w:t>
      </w:r>
      <w:r>
        <w:rPr>
          <w:rFonts w:ascii="Times New Roman" w:hAnsi="Times New Roman" w:cs="Times New Roman"/>
          <w:sz w:val="22"/>
          <w:szCs w:val="22"/>
        </w:rPr>
        <w:t xml:space="preserve"> Many contemporary Christians simply skip them. Others spiritualize them, turning enemies into demons, destruction into spiritual warfare, violence into metaphor. Still others dismiss them as primitive Old Testament ethics superseded by Jesus’s command to love enemies.</w:t>
      </w:r>
    </w:p>
    <w:p w14:paraId="521973E9" w14:textId="77777777" w:rsidR="002A63A2" w:rsidRPr="00850CC8" w:rsidRDefault="002A63A2"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But none of these approaches will do.</w:t>
      </w:r>
    </w:p>
    <w:p w14:paraId="35809F57" w14:textId="77777777" w:rsidR="002A63A2" w:rsidRPr="00850CC8" w:rsidRDefault="002A63A2"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lastRenderedPageBreak/>
        <w:t>These psalms are Scripture. They were preserved by communities that found them essential. Jesus prayed the Psalms, all of them, including those with imprecatory elements. The early church used them in worship. Persecuted believers throughout history have found in them permission to honestly cry out to God about suffering and injustice. They resist our attempts to make faith comfortable.</w:t>
      </w:r>
    </w:p>
    <w:p w14:paraId="226DA373" w14:textId="77777777" w:rsidR="002A63A2" w:rsidRPr="00850CC8" w:rsidRDefault="002A63A2"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This chapter will demonstrate that the relational framework developed in the preceding chapters provides tools for understanding these prayers without either dismissing them or uncritically endorsing everything they express. We will see that they reflect the same relational logic traced throughout this book: different relationships generate different obligations and different appropriate responses. We will explore their function as honest prayer, their grounding in covenant relationship, their concern for justice, their ancient Near Eastern context, and their transformation in light of Christ.</w:t>
      </w:r>
    </w:p>
    <w:p w14:paraId="63243A42" w14:textId="77777777" w:rsidR="002A63A2" w:rsidRPr="00850CC8" w:rsidRDefault="002A63A2"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The imprecatory psalms are neither simple nor comfortable. But they are coherent within the broader biblical vision of God’s character and purposes. And understanding them rightly may be more important than we realize, for they address questions about justice, suffering, and prayer that every believer eventually faces.</w:t>
      </w:r>
    </w:p>
    <w:p w14:paraId="7FDBDAC0" w14:textId="77777777" w:rsidR="002A63A2" w:rsidRPr="00850CC8" w:rsidRDefault="002A63A2" w:rsidP="00850CC8">
      <w:pPr>
        <w:pStyle w:val="Heading2"/>
        <w:spacing w:line="276" w:lineRule="auto"/>
        <w:rPr>
          <w:rFonts w:ascii="Times New Roman" w:hAnsi="Times New Roman" w:cs="Times New Roman"/>
          <w:sz w:val="22"/>
          <w:szCs w:val="22"/>
        </w:rPr>
      </w:pPr>
      <w:bookmarkStart w:id="33" w:name="_Toc228335839"/>
      <w:r>
        <w:rPr>
          <w:rFonts w:ascii="Times New Roman" w:hAnsi="Times New Roman" w:cs="Times New Roman"/>
          <w:sz w:val="22"/>
          <w:szCs w:val="22"/>
        </w:rPr>
        <w:t>What Are the Imprecatory Psalms?</w:t>
      </w:r>
      <w:bookmarkEnd w:id="33"/>
    </w:p>
    <w:p w14:paraId="306403B8" w14:textId="77777777" w:rsidR="002A63A2" w:rsidRPr="00850CC8" w:rsidRDefault="002A63A2"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Before addressing theological questions, we must understand what these psalms actually are.</w:t>
      </w:r>
    </w:p>
    <w:p w14:paraId="07EF6903" w14:textId="77777777" w:rsidR="002A63A2" w:rsidRPr="00850CC8" w:rsidRDefault="002A63A2"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 xml:space="preserve">An imprecatory psalm is a psalm that includes prayer for God’s judgment upon enemies. The term comes from the Latin </w:t>
      </w:r>
      <w:r>
        <w:rPr>
          <w:rFonts w:ascii="Times New Roman" w:hAnsi="Times New Roman" w:cs="Times New Roman"/>
          <w:i/>
          <w:iCs/>
          <w:sz w:val="22"/>
          <w:szCs w:val="22"/>
        </w:rPr>
        <w:t>imprecari</w:t>
      </w:r>
      <w:r>
        <w:rPr>
          <w:rFonts w:ascii="Times New Roman" w:hAnsi="Times New Roman" w:cs="Times New Roman"/>
          <w:sz w:val="22"/>
          <w:szCs w:val="22"/>
        </w:rPr>
        <w:t>, meaning “to pray against” or “to invoke evil upon.” These are not idle curses or magical incantations. They are prayers, direct addresses to God asking him to act against those who oppose his people or his purposes. The psalmist brings a lawsuit before the divine Judge and asks for verdict and sentence.</w:t>
      </w:r>
    </w:p>
    <w:p w14:paraId="069C504A" w14:textId="77777777" w:rsidR="002A63A2" w:rsidRPr="00850CC8" w:rsidRDefault="002A63A2"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The imprecatory psalms are not isolated oddities. Scholars identify varying numbers depending on how strictly they define the category, but imprecatory elements appear in approximately fifty of the 150 psalms.</w:t>
      </w:r>
      <w:r>
        <w:rPr>
          <w:rFonts w:ascii="Times New Roman" w:hAnsi="Times New Roman" w:cs="Times New Roman"/>
          <w:sz w:val="22"/>
          <w:szCs w:val="22"/>
          <w:vertAlign w:val="superscript"/>
        </w:rPr>
        <w:t>2</w:t>
      </w:r>
      <w:r>
        <w:rPr>
          <w:rFonts w:ascii="Times New Roman" w:hAnsi="Times New Roman" w:cs="Times New Roman"/>
          <w:sz w:val="22"/>
          <w:szCs w:val="22"/>
        </w:rPr>
        <w:t xml:space="preserve"> That is one third of the Psalter. Some psalms are almost entirely imprecatory (Psalms 35, 58, 69, 109, 137), while others include brief imprecatory verses within otherwise trusting or worshipful contexts.</w:t>
      </w:r>
    </w:p>
    <w:p w14:paraId="35C0E333" w14:textId="77777777" w:rsidR="002A63A2" w:rsidRPr="00850CC8" w:rsidRDefault="002A63A2"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What makes these psalms shocking is specificity.</w:t>
      </w:r>
    </w:p>
    <w:p w14:paraId="43D8FDD5" w14:textId="77777777" w:rsidR="002A63A2" w:rsidRPr="00850CC8" w:rsidRDefault="002A63A2"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Many prayers throughout Scripture ask for divine judgment in general terms: “vindicate me,” “defend your people,” “let justice be done.” But the imprecatory psalms request particular, concrete, sometimes brutal actions:</w:t>
      </w:r>
    </w:p>
    <w:p w14:paraId="768EBA34" w14:textId="77777777" w:rsidR="002A63A2" w:rsidRPr="00850CC8" w:rsidRDefault="002A63A2" w:rsidP="00850CC8">
      <w:pPr>
        <w:spacing w:before="80" w:after="80" w:line="276" w:lineRule="auto"/>
        <w:ind w:left="720" w:right="720"/>
        <w:rPr>
          <w:rFonts w:ascii="Times New Roman" w:hAnsi="Times New Roman" w:cs="Times New Roman"/>
          <w:sz w:val="22"/>
          <w:szCs w:val="22"/>
        </w:rPr>
      </w:pPr>
      <w:r>
        <w:rPr>
          <w:rFonts w:ascii="Times New Roman" w:hAnsi="Times New Roman" w:cs="Times New Roman"/>
          <w:i/>
          <w:iCs/>
          <w:sz w:val="22"/>
          <w:szCs w:val="22"/>
        </w:rPr>
        <w:t>“Let death steal over them; let them go down to Sheol alive; for evil is in their dwelling place and in their heart.” (Psalm 55:15)</w:t>
      </w:r>
    </w:p>
    <w:p w14:paraId="5C8A5752" w14:textId="77777777" w:rsidR="002A63A2" w:rsidRPr="00850CC8" w:rsidRDefault="002A63A2" w:rsidP="00850CC8">
      <w:pPr>
        <w:spacing w:before="80" w:after="80" w:line="276" w:lineRule="auto"/>
        <w:ind w:left="720" w:right="720"/>
        <w:rPr>
          <w:rFonts w:ascii="Times New Roman" w:hAnsi="Times New Roman" w:cs="Times New Roman"/>
          <w:sz w:val="22"/>
          <w:szCs w:val="22"/>
        </w:rPr>
      </w:pPr>
      <w:r>
        <w:rPr>
          <w:rFonts w:ascii="Times New Roman" w:hAnsi="Times New Roman" w:cs="Times New Roman"/>
          <w:i/>
          <w:iCs/>
          <w:sz w:val="22"/>
          <w:szCs w:val="22"/>
        </w:rPr>
        <w:t>“O God, break the teeth in their mouths; tear out the fangs of the young lions, O LORD!” (Psalm 58:6)</w:t>
      </w:r>
    </w:p>
    <w:p w14:paraId="4244DD80" w14:textId="77777777" w:rsidR="002A63A2" w:rsidRPr="00850CC8" w:rsidRDefault="002A63A2" w:rsidP="00850CC8">
      <w:pPr>
        <w:spacing w:before="80" w:after="80" w:line="276" w:lineRule="auto"/>
        <w:ind w:left="720" w:right="720"/>
        <w:rPr>
          <w:rFonts w:ascii="Times New Roman" w:hAnsi="Times New Roman" w:cs="Times New Roman"/>
          <w:sz w:val="22"/>
          <w:szCs w:val="22"/>
        </w:rPr>
      </w:pPr>
      <w:r>
        <w:rPr>
          <w:rFonts w:ascii="Times New Roman" w:hAnsi="Times New Roman" w:cs="Times New Roman"/>
          <w:i/>
          <w:iCs/>
          <w:sz w:val="22"/>
          <w:szCs w:val="22"/>
        </w:rPr>
        <w:t>“Let his children be fatherless and his wife a widow! May his children wander about and beg, seeking food far from the ruins they inhabit! May the creditor seize all that he has; may strangers plunder the fruits of his toil!” (Psalm 109:9–11)</w:t>
      </w:r>
    </w:p>
    <w:p w14:paraId="66F242E0" w14:textId="77777777" w:rsidR="002A63A2" w:rsidRPr="00850CC8" w:rsidRDefault="002A63A2" w:rsidP="00850CC8">
      <w:pPr>
        <w:spacing w:before="80" w:after="80" w:line="276" w:lineRule="auto"/>
        <w:ind w:left="720" w:right="720"/>
        <w:rPr>
          <w:rFonts w:ascii="Times New Roman" w:hAnsi="Times New Roman" w:cs="Times New Roman"/>
          <w:sz w:val="22"/>
          <w:szCs w:val="22"/>
        </w:rPr>
      </w:pPr>
      <w:r>
        <w:rPr>
          <w:rFonts w:ascii="Times New Roman" w:hAnsi="Times New Roman" w:cs="Times New Roman"/>
          <w:i/>
          <w:iCs/>
          <w:sz w:val="22"/>
          <w:szCs w:val="22"/>
        </w:rPr>
        <w:lastRenderedPageBreak/>
        <w:t>“Happy is he who repays you for what you have done to us, he who seizes your infants and dashes them against the rocks.” (Psalm 137:8–9, NIV)</w:t>
      </w:r>
    </w:p>
    <w:p w14:paraId="76FC813C" w14:textId="77777777" w:rsidR="002A63A2" w:rsidRPr="00850CC8" w:rsidRDefault="002A63A2"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These are not abstract wishes for justice. They are vivid, concrete prayers for the destruction of enemies. They ask God to act with violence, to destroy families, to bring death and suffering. They do not pray for the conversion of enemies but for their elimination. Psalm 109 asks for orphans and widows, the very people God elsewhere commands Israel to protect. Psalm 137 invokes blessing on those who kill children, children being destroyed in precisely the manner Babylonian soldiers killed Israelite children.</w:t>
      </w:r>
    </w:p>
    <w:p w14:paraId="4FF6D049" w14:textId="77777777" w:rsidR="002A63A2" w:rsidRPr="00850CC8" w:rsidRDefault="002A63A2"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Moreover, these are not private prayers from angry individuals whose words were unfortunately preserved. They are liturgical texts, meant for corporate worship. They appear in the Psalter, the prayer book of Israel and the early church. They have been sung, chanted, prayed, and meditated upon by believing communities for millennia. Their preservation in Scripture indicates divine intent to teach something through them.</w:t>
      </w:r>
    </w:p>
    <w:p w14:paraId="4AA1532A" w14:textId="77777777" w:rsidR="002A63A2" w:rsidRPr="00850CC8" w:rsidRDefault="002A63A2"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But what?</w:t>
      </w:r>
    </w:p>
    <w:p w14:paraId="2A005983" w14:textId="77777777" w:rsidR="002A63A2" w:rsidRPr="00850CC8" w:rsidRDefault="002A63A2"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That question drives this chapter. We cannot ignore these psalms; they are too prominent in Scripture. We cannot simply spiritualize them; that evacuates their actual content. We cannot dismiss them as primitive ethics; they were preserved by the communities that also gave us Leviticus 19:18 and used by Jesus himself. We must understand them.</w:t>
      </w:r>
    </w:p>
    <w:p w14:paraId="6A76B59A" w14:textId="77777777" w:rsidR="002A63A2" w:rsidRPr="00850CC8" w:rsidRDefault="002A63A2" w:rsidP="00850CC8">
      <w:pPr>
        <w:pStyle w:val="Heading2"/>
        <w:spacing w:line="276" w:lineRule="auto"/>
        <w:rPr>
          <w:rFonts w:ascii="Times New Roman" w:hAnsi="Times New Roman" w:cs="Times New Roman"/>
          <w:sz w:val="22"/>
          <w:szCs w:val="22"/>
        </w:rPr>
      </w:pPr>
      <w:bookmarkStart w:id="34" w:name="_Toc228335840"/>
      <w:r>
        <w:rPr>
          <w:rFonts w:ascii="Times New Roman" w:hAnsi="Times New Roman" w:cs="Times New Roman"/>
          <w:sz w:val="22"/>
          <w:szCs w:val="22"/>
        </w:rPr>
        <w:t>The Relational Context: Covenant Identity and Enemy Definition</w:t>
      </w:r>
      <w:bookmarkEnd w:id="34"/>
    </w:p>
    <w:p w14:paraId="6721CBEE" w14:textId="77777777" w:rsidR="002A63A2" w:rsidRPr="00850CC8" w:rsidRDefault="002A63A2"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The first key to understanding imprecatory psalms is recognizing their relational context. These are not the prayers of humanity generally but of God’s people specifically, those who stand in covenant relationship with YHWH.</w:t>
      </w:r>
    </w:p>
    <w:p w14:paraId="16995463" w14:textId="77777777" w:rsidR="002A63A2" w:rsidRPr="00850CC8" w:rsidRDefault="002A63A2"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This matters immensely.</w:t>
      </w:r>
    </w:p>
    <w:p w14:paraId="13471529" w14:textId="77777777" w:rsidR="002A63A2" w:rsidRPr="00850CC8" w:rsidRDefault="002A63A2"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The psalmists are not praying as private individuals seeking personal vengeance. They are praying as members of the covenant community whose enemies threaten not merely their personal welfare but God’s purposes through his people. When the psalmist cries out against enemies, he cries out against those who “hate you, O LORD” (Psalm 139:21), who “rise up against you” (Psalm 139:21), who seek to “destroy your covenant” (Psalm 74:20), who “plan evil against your people” (Psalm 83:3).</w:t>
      </w:r>
    </w:p>
    <w:p w14:paraId="29038C67" w14:textId="77777777" w:rsidR="002A63A2" w:rsidRPr="00850CC8" w:rsidRDefault="002A63A2"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Consider Psalm 139:19–22 carefully:</w:t>
      </w:r>
    </w:p>
    <w:p w14:paraId="082E2257" w14:textId="77777777" w:rsidR="002A63A2" w:rsidRPr="00850CC8" w:rsidRDefault="002A63A2" w:rsidP="00850CC8">
      <w:pPr>
        <w:spacing w:before="80" w:after="80" w:line="276" w:lineRule="auto"/>
        <w:ind w:left="720" w:right="720"/>
        <w:rPr>
          <w:rFonts w:ascii="Times New Roman" w:hAnsi="Times New Roman" w:cs="Times New Roman"/>
          <w:sz w:val="22"/>
          <w:szCs w:val="22"/>
        </w:rPr>
      </w:pPr>
      <w:r>
        <w:rPr>
          <w:rFonts w:ascii="Times New Roman" w:hAnsi="Times New Roman" w:cs="Times New Roman"/>
          <w:i/>
          <w:iCs/>
          <w:sz w:val="22"/>
          <w:szCs w:val="22"/>
        </w:rPr>
        <w:t>“Oh that you would slay the wicked, O God! O men of blood, depart from me! They speak against you with malicious intent; your enemies take your name in vain. Do I not hate those who hate you, O LORD? And do I not loathe those who rise up against you? I hate them with complete hatred; I count them my enemies.”</w:t>
      </w:r>
    </w:p>
    <w:p w14:paraId="6CE80BB1" w14:textId="77777777" w:rsidR="002A63A2" w:rsidRPr="00850CC8" w:rsidRDefault="002A63A2"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The logic is explicitly theological. The psalmist’s hatred of his enemies flows from his love for God. His enemies are God’s enemies. His opposition to them is grounded in covenant loyalty. This is not personal vendetta but theological conviction: those who oppose God’s purposes must be opposed.</w:t>
      </w:r>
    </w:p>
    <w:p w14:paraId="1D1565F6" w14:textId="77777777" w:rsidR="002A63A2" w:rsidRPr="00850CC8" w:rsidRDefault="002A63A2"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The Hebrew intensifies the point. When the psalmist says “I hate them with complete hatred” (</w:t>
      </w:r>
      <w:r>
        <w:rPr>
          <w:rFonts w:ascii="Times New Roman" w:hAnsi="Times New Roman" w:cs="Times New Roman"/>
          <w:i/>
          <w:iCs/>
          <w:sz w:val="22"/>
          <w:szCs w:val="22"/>
        </w:rPr>
        <w:t>sinʾah kalīl</w:t>
      </w:r>
      <w:r>
        <w:rPr>
          <w:rFonts w:ascii="Times New Roman" w:hAnsi="Times New Roman" w:cs="Times New Roman"/>
          <w:sz w:val="22"/>
          <w:szCs w:val="22"/>
        </w:rPr>
        <w:t xml:space="preserve">), he uses terminology that elsewhere describes complete devotion to God. The same wholehearted commitment that should characterize love for God here characterizes opposition to God’s </w:t>
        <w:lastRenderedPageBreak/>
        <w:t>enemies. The psalmist models what it looks like to take God’s side in the cosmic conflict between good and evil, between covenant faithfulness and covenant rebellion.</w:t>
      </w:r>
    </w:p>
    <w:p w14:paraId="58F54E21" w14:textId="77777777" w:rsidR="002A63A2" w:rsidRPr="00850CC8" w:rsidRDefault="002A63A2"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The relational framework helps us understand this dynamic. We have seen throughout this book that different relationships generate different obligations. Israel’s covenant relationship with YHWH creates a category of “covenant enemy,” those who oppose not merely Israel’s national interests but God’s redemptive purposes through Israel. These are enemies of God’s program, God’s people, God’s promises.</w:t>
      </w:r>
    </w:p>
    <w:p w14:paraId="55C337EE" w14:textId="77777777" w:rsidR="002A63A2" w:rsidRPr="00850CC8" w:rsidRDefault="002A63A2"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This does not mean Israel is always right.</w:t>
      </w:r>
    </w:p>
    <w:p w14:paraId="3D458D89" w14:textId="77777777" w:rsidR="002A63A2" w:rsidRPr="00850CC8" w:rsidRDefault="002A63A2"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The prophets frequently criticized Israel and sided with foreigners against Israel’s sin. Amos declared that God would judge Israel just as he judged surrounding nations (Amos 1–2). Isaiah insisted that Assyria was the rod of God’s anger against Israel’s rebellion (Isaiah 10:5). Jeremiah told Israel to surrender to Babylon as God’s judgment (Jeremiah 27). The category of “covenant enemy” is not automatically applied to everyone who opposes Israel.</w:t>
      </w:r>
    </w:p>
    <w:p w14:paraId="3053A613" w14:textId="77777777" w:rsidR="002A63A2" w:rsidRPr="00850CC8" w:rsidRDefault="002A63A2"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But when enemies seek to destroy Israel as covenant people, when they attack Israel precisely because Israel is YHWH’s chosen instrument, when they mock Israel’s God, when they seek to eliminate the covenant community through which God has promised blessing to all nations, then covenant relationship creates a context where prayer for God’s defense of his people and judgment of his enemies becomes appropriate.</w:t>
      </w:r>
    </w:p>
    <w:p w14:paraId="1416F08F" w14:textId="77777777" w:rsidR="002A63A2" w:rsidRPr="00850CC8" w:rsidRDefault="002A63A2"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This relational context also explains why imprecatory prayers are directed to God rather than acted upon by the one praying. The psalmist does not take up arms to destroy his enemies. He does not seek personal vengeance. He does not organize vigilante justice. He brings his cause before God and asks God to act.</w:t>
      </w:r>
    </w:p>
    <w:p w14:paraId="4F1766A1" w14:textId="77777777" w:rsidR="002A63A2" w:rsidRPr="00850CC8" w:rsidRDefault="002A63A2"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This is crucial.</w:t>
      </w:r>
    </w:p>
    <w:p w14:paraId="4FC90FAB" w14:textId="77777777" w:rsidR="002A63A2" w:rsidRPr="00850CC8" w:rsidRDefault="002A63A2"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Imprecatory psalms channel the desire for justice away from personal retaliation and toward divine judgment. They acknowledge that vengeance belongs to God alone. The very act of praying these psalms becomes an act of restraint: “I am bringing this to you, God, rather than taking it into my own hands.”</w:t>
      </w:r>
    </w:p>
    <w:p w14:paraId="6F6B0383" w14:textId="77777777" w:rsidR="002A63A2" w:rsidRPr="00850CC8" w:rsidRDefault="002A63A2" w:rsidP="00850CC8">
      <w:pPr>
        <w:pStyle w:val="Heading2"/>
        <w:spacing w:line="276" w:lineRule="auto"/>
        <w:rPr>
          <w:rFonts w:ascii="Times New Roman" w:hAnsi="Times New Roman" w:cs="Times New Roman"/>
          <w:sz w:val="22"/>
          <w:szCs w:val="22"/>
        </w:rPr>
      </w:pPr>
      <w:bookmarkStart w:id="35" w:name="_Toc228335841"/>
      <w:r>
        <w:rPr>
          <w:rFonts w:ascii="Times New Roman" w:hAnsi="Times New Roman" w:cs="Times New Roman"/>
          <w:sz w:val="22"/>
          <w:szCs w:val="22"/>
        </w:rPr>
        <w:t>The Function of Honest Prayer: When Sanitized Religion Fails</w:t>
      </w:r>
      <w:bookmarkEnd w:id="35"/>
    </w:p>
    <w:p w14:paraId="7772A41C" w14:textId="77777777" w:rsidR="002A63A2" w:rsidRPr="00850CC8" w:rsidRDefault="002A63A2"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A second crucial insight concerns the function of these psalms as honest prayer. They give voice to real emotions, anger, pain, desire for vindication, that believers actually feel. They refuse to sanitize prayer by pretending we do not experience rage at injustice or longing for God’s judgment upon evil.</w:t>
      </w:r>
    </w:p>
    <w:p w14:paraId="040EB931" w14:textId="77777777" w:rsidR="002A63A2" w:rsidRPr="00850CC8" w:rsidRDefault="002A63A2"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Consider what happens when the church excludes these psalms from its prayer. We communicate, whether we intend to or not, that certain emotions and experiences are not welcome before God. We suggest that anger at injustice, grief at suffering, or longing for vindication are somehow unspiritual or inappropriate in prayer. We force believers to sanitize their emotions, to pray only calm, measured, “acceptable” prayers while their hearts rage with pain and anger.</w:t>
      </w:r>
    </w:p>
    <w:p w14:paraId="43E33962" w14:textId="77777777" w:rsidR="002A63A2" w:rsidRPr="00850CC8" w:rsidRDefault="002A63A2"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But honest rage is better than pious pretense.</w:t>
      </w:r>
    </w:p>
    <w:p w14:paraId="7F1D415C" w14:textId="77777777" w:rsidR="002A63A2" w:rsidRPr="00850CC8" w:rsidRDefault="002A63A2"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lastRenderedPageBreak/>
        <w:t>The imprecatory psalms insist on this. They model bringing everything before God, including anger, including hatred of evil, including longing for violent justice. They trust that God can handle our emotions, that he prefers honest rage to sanitized religion, that bringing our darkness before him is the path toward transformation rather than suppression.</w:t>
      </w:r>
    </w:p>
    <w:p w14:paraId="206161AE" w14:textId="77777777" w:rsidR="002A63A2" w:rsidRPr="00850CC8" w:rsidRDefault="002A63A2"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Walter Brueggemann argues persuasively that the lament psalms (including imprecatory elements) function to give voice to suffering and anger that religious communities often try to suppress. He writes that the use of these “psalms of darkness” may be judged by the world to be acts of unfaith and failure, but for the trusting community their use is an act of bold faith, albeit a transformed faith.</w:t>
      </w:r>
      <w:r>
        <w:rPr>
          <w:rFonts w:ascii="Times New Roman" w:hAnsi="Times New Roman" w:cs="Times New Roman"/>
          <w:sz w:val="22"/>
          <w:szCs w:val="22"/>
          <w:vertAlign w:val="superscript"/>
        </w:rPr>
        <w:t>3</w:t>
      </w:r>
      <w:r>
        <w:rPr>
          <w:rFonts w:ascii="Times New Roman" w:hAnsi="Times New Roman" w:cs="Times New Roman"/>
          <w:sz w:val="22"/>
          <w:szCs w:val="22"/>
        </w:rPr>
        <w:t xml:space="preserve"> The community that prays these psalms honestly is the community that trusts God enough to bring him everything, not just the comfortable, acceptable emotions but the raw, painful, angry ones as well.</w:t>
      </w:r>
    </w:p>
    <w:p w14:paraId="52ED2268" w14:textId="77777777" w:rsidR="002A63A2" w:rsidRPr="00850CC8" w:rsidRDefault="002A63A2"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This does not mean everything in these psalms is morally right or that we should imitate every sentiment they express. The psalmist who asks for enemy children to be dashed against rocks is expressing a very human desire for retribution, for equivalent suffering, for the enemy to experience what they inflicted. We do not have to endorse this desire to recognize that it is honest, and that honest prayer, even when it includes morally problematic content, is the beginning of transformation rather than the end of faith.</w:t>
      </w:r>
    </w:p>
    <w:p w14:paraId="6E4DD395" w14:textId="77777777" w:rsidR="002A63A2" w:rsidRPr="00850CC8" w:rsidRDefault="002A63A2"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The alternative is either suppression or action. If we cannot pray these feelings, we either bottle them up (leading to bitterness, depression, or spiritual deadness) or we act on them (leading to personal vengeance). The imprecatory psalms offer a third way: bring the rage, the desire for vindication, the longing for justice before God. Let him sort out what is legitimate and what is not. Let him decide when and how to act. Let him transform our hearts in the process of honest prayer.</w:t>
      </w:r>
    </w:p>
    <w:p w14:paraId="3ABAF93C" w14:textId="77777777" w:rsidR="002A63A2" w:rsidRPr="00850CC8" w:rsidRDefault="002A63A2"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Moreover, the imprecatory psalms function specifically to prevent private vengeance by channeling the desire for justice toward God. Romans 12:19 captures this dynamic: “Beloved, never avenge yourselves, but leave it to the wrath of God, for it is written, ‘Vengeance is mine, I will repay, says the Lord.’” When I pray for God to destroy my enemy, I acknowledge that judgment belongs to him, not to me. I commit my cause to him rather than taking justice into my own hands.</w:t>
      </w:r>
    </w:p>
    <w:p w14:paraId="31F8413F" w14:textId="77777777" w:rsidR="002A63A2" w:rsidRPr="00850CC8" w:rsidRDefault="002A63A2"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The very act of praying becomes an act of restraint.</w:t>
      </w:r>
    </w:p>
    <w:p w14:paraId="1BEBEE8C" w14:textId="77777777" w:rsidR="002A63A2" w:rsidRPr="00850CC8" w:rsidRDefault="002A63A2"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This is why Erich Zenger argues that these psalms function as a kind of spiritual prophylaxis against vigilantism. By directing cries for justice toward God, they prevent believers from taking vengeance into their own hands. The community that prays “O God, break the teeth in their mouths” is the community that does not literally break teeth. Prayer becomes the alternative to violence, not the prelude to it.</w:t>
      </w:r>
      <w:r>
        <w:rPr>
          <w:rFonts w:ascii="Times New Roman" w:hAnsi="Times New Roman" w:cs="Times New Roman"/>
          <w:sz w:val="22"/>
          <w:szCs w:val="22"/>
          <w:vertAlign w:val="superscript"/>
        </w:rPr>
        <w:t>4</w:t>
      </w:r>
    </w:p>
    <w:p w14:paraId="452B3079" w14:textId="77777777" w:rsidR="002A63A2" w:rsidRPr="00850CC8" w:rsidRDefault="002A63A2" w:rsidP="00850CC8">
      <w:pPr>
        <w:pStyle w:val="Heading2"/>
        <w:spacing w:line="276" w:lineRule="auto"/>
        <w:rPr>
          <w:rFonts w:ascii="Times New Roman" w:hAnsi="Times New Roman" w:cs="Times New Roman"/>
          <w:sz w:val="22"/>
          <w:szCs w:val="22"/>
        </w:rPr>
      </w:pPr>
      <w:bookmarkStart w:id="36" w:name="_Toc228335842"/>
      <w:r>
        <w:rPr>
          <w:rFonts w:ascii="Times New Roman" w:hAnsi="Times New Roman" w:cs="Times New Roman"/>
          <w:sz w:val="22"/>
          <w:szCs w:val="22"/>
        </w:rPr>
        <w:t>The Justice Dimension: Crying Out Against Real Evil</w:t>
      </w:r>
      <w:bookmarkEnd w:id="36"/>
    </w:p>
    <w:p w14:paraId="24EF73F7" w14:textId="77777777" w:rsidR="002A63A2" w:rsidRPr="00850CC8" w:rsidRDefault="002A63A2"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The imprecatory psalms are fundamentally about justice. They arise from situations of oppression, persecution, and systematic injustice. They are the prayers of victims, not perpetrators, the prayers of those who suffer wrongly and cry out for God to set things right.</w:t>
      </w:r>
    </w:p>
    <w:p w14:paraId="114094B0" w14:textId="77777777" w:rsidR="002A63A2" w:rsidRPr="00850CC8" w:rsidRDefault="002A63A2"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 xml:space="preserve">Consider the contexts in which these psalms appear. Psalm 137 is the cry of exiles who watched their city destroyed, their temple burned, their children killed. The Babylonians who did this then mocked their grief: “Sing us one of the songs of Zion!” (137:3). They wanted entertainment from those they had </w:t>
        <w:lastRenderedPageBreak/>
        <w:t>devastated. When the psalmist cries “Blessed shall he be who takes your little ones and dashes them against the rock!” (137:9), he is not inventing new cruelty. He is echoing the very cruelty Babylon inflicted on Jerusalem’s children. He is asking for measure-for-measure justice.</w:t>
      </w:r>
    </w:p>
    <w:p w14:paraId="7594E220" w14:textId="77777777" w:rsidR="002A63A2" w:rsidRPr="00850CC8" w:rsidRDefault="002A63A2"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Is this prayer morally acceptable? That is a different question.</w:t>
      </w:r>
    </w:p>
    <w:p w14:paraId="6BB3DCAF" w14:textId="77777777" w:rsidR="002A63A2" w:rsidRPr="00850CC8" w:rsidRDefault="002A63A2"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The point here is to understand its function: it gives voice to the cry for justice from those who have experienced profound injustice. It refuses to let evil be forgotten or normalized. It insists that what Babylon did was wrong, that it matters, that God must respond.</w:t>
      </w:r>
    </w:p>
    <w:p w14:paraId="6E26178A" w14:textId="77777777" w:rsidR="002A63A2" w:rsidRPr="00850CC8" w:rsidRDefault="002A63A2"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Psalm 109 emerges from a context of false accusation and betrayal. The psalmist is opposed by those who “repay me evil for good” (109:5), who “return hatred” for his friendship (109:5), who attack him with lies though he prayed for them (109:4). The specific accusations are devastating: “They have spoken against me with lying tongues. They encircle me with words of hate, and attack me without cause” (109:2–3). His imprecatory response, asking that his accuser’s children be orphaned, his wife widowed, his property seized, is not unprovoked rage. It is response to systematic injustice, to those who weaponize the legal system against the innocent.</w:t>
      </w:r>
    </w:p>
    <w:p w14:paraId="4661ED9D" w14:textId="77777777" w:rsidR="002A63A2" w:rsidRPr="00850CC8" w:rsidRDefault="002A63A2"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Psalm 58 addresses corrupt judges who “weigh out the violence of your hands on earth” (58:2), officials who should administer justice but instead perpetrate injustice. The psalmist’s cry for their judgment flows from concern that justice be done, that the wicked not prosper, that moral order be restored. “Do you indeed decree what is right, you gods? Do you judge the children of man uprightly? No, in your hearts you devise wrongs; your hands deal out violence on earth” (58:1–2).</w:t>
      </w:r>
    </w:p>
    <w:p w14:paraId="35E569D7" w14:textId="77777777" w:rsidR="002A63A2" w:rsidRPr="00850CC8" w:rsidRDefault="002A63A2"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In each case, the imprecatory psalms function as cries for justice in situations where justice is systematically denied. They insist that evil is real, that oppression matters, that wrong must be confronted, that God must act to set things right. They refuse to accept a universe where the wicked prosper and the righteous suffer without hope of vindication.</w:t>
      </w:r>
    </w:p>
    <w:p w14:paraId="3D1A33B9" w14:textId="77777777" w:rsidR="002A63A2" w:rsidRPr="00850CC8" w:rsidRDefault="002A63A2"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This justice dimension reveals why these psalms have resonated so powerfully with persecuted believers throughout history. Christians under Roman persecution found in Psalm 79 permission to cry out about temples desecrated and believers killed. Jews during pogroms prayed Psalm 44. Enslaved peoples found voice in Psalm 137’s cry against Babylon. Victims of genocide have used these prayers to maintain both sanity and faith.</w:t>
      </w:r>
    </w:p>
    <w:p w14:paraId="313F1926" w14:textId="77777777" w:rsidR="002A63A2" w:rsidRPr="00850CC8" w:rsidRDefault="002A63A2"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These psalms validate suffering.</w:t>
      </w:r>
    </w:p>
    <w:p w14:paraId="5CB49195" w14:textId="77777777" w:rsidR="002A63A2" w:rsidRPr="00850CC8" w:rsidRDefault="002A63A2"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They insist that evil is evil, that oppression is oppression, that God hears and God cares. They refuse to spiritualize suffering or pretend that everything is fine. They give permission to honestly name evil and to cry out against it. Nancy deClaissé-Walford documents how these psalms sustained communities under oppression without promoting violence; they provided an outlet for rage that prevented both despair and vengeance.</w:t>
      </w:r>
      <w:r>
        <w:rPr>
          <w:rFonts w:ascii="Times New Roman" w:hAnsi="Times New Roman" w:cs="Times New Roman"/>
          <w:sz w:val="22"/>
          <w:szCs w:val="22"/>
          <w:vertAlign w:val="superscript"/>
        </w:rPr>
        <w:t>5</w:t>
      </w:r>
    </w:p>
    <w:p w14:paraId="1641E59C" w14:textId="77777777" w:rsidR="002A63A2" w:rsidRPr="00850CC8" w:rsidRDefault="002A63A2"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Moreover, the imprecatory psalms keep alive hope for justice even when justice is long delayed. They remind us that God is not neutral in the face of evil, that he will ultimately vindicate his people, that wickedness will not triumph forever. Without this hope, victims of oppression can fall into either despair or personal vengeance. The imprecatory psalms offer a third way: honest prayer that commits justice to God while maintaining hope that he will act.</w:t>
      </w:r>
    </w:p>
    <w:p w14:paraId="79125B66" w14:textId="77777777" w:rsidR="002A63A2" w:rsidRPr="00850CC8" w:rsidRDefault="002A63A2" w:rsidP="00850CC8">
      <w:pPr>
        <w:pStyle w:val="Heading2"/>
        <w:spacing w:line="276" w:lineRule="auto"/>
        <w:rPr>
          <w:rFonts w:ascii="Times New Roman" w:hAnsi="Times New Roman" w:cs="Times New Roman"/>
          <w:sz w:val="22"/>
          <w:szCs w:val="22"/>
        </w:rPr>
      </w:pPr>
      <w:bookmarkStart w:id="37" w:name="_Toc228335843"/>
      <w:r>
        <w:rPr>
          <w:rFonts w:ascii="Times New Roman" w:hAnsi="Times New Roman" w:cs="Times New Roman"/>
          <w:sz w:val="22"/>
          <w:szCs w:val="22"/>
        </w:rPr>
        <w:lastRenderedPageBreak/>
        <w:t>The Ancient Near Eastern Context: Treaties, Curses, and Covenant</w:t>
      </w:r>
      <w:bookmarkEnd w:id="37"/>
    </w:p>
    <w:p w14:paraId="50494E11" w14:textId="77777777" w:rsidR="002A63A2" w:rsidRPr="00850CC8" w:rsidRDefault="002A63A2"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To understand imprecatory language in the Psalms, we must understand how curses functioned in the ancient Near Eastern world. This was a culture where treaty curses were standard, where invoking divine judgment on treaty violators was expected, where the language of blessing and curse structured international relations.</w:t>
      </w:r>
    </w:p>
    <w:p w14:paraId="2744BF50" w14:textId="77777777" w:rsidR="002A63A2" w:rsidRPr="00850CC8" w:rsidRDefault="002A63A2"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Ancient Near Eastern treaties, between kings, between nations, between suzerains and vassals, regularly included curse sections. These sections detailed what would happen to treaty violators: loss of land, destruction of cities, death of children, consumption of one’s own flesh during siege, disease, military defeat. The Assyrian treaties are particularly graphic. The Esarhaddon succession treaty, for example, invokes over sixty different curses on potential violators.</w:t>
      </w:r>
      <w:r>
        <w:rPr>
          <w:rFonts w:ascii="Times New Roman" w:hAnsi="Times New Roman" w:cs="Times New Roman"/>
          <w:sz w:val="22"/>
          <w:szCs w:val="22"/>
          <w:vertAlign w:val="superscript"/>
        </w:rPr>
        <w:t>6</w:t>
      </w:r>
      <w:r>
        <w:rPr>
          <w:rFonts w:ascii="Times New Roman" w:hAnsi="Times New Roman" w:cs="Times New Roman"/>
          <w:sz w:val="22"/>
          <w:szCs w:val="22"/>
        </w:rPr>
        <w:t xml:space="preserve"> The function of these curses was not merely vindictive. They served to solemnize agreements, to invoke divine oversight, to establish consequences for violation. When you entered a treaty, you formally acknowledged that breaking it would bring divine judgment.</w:t>
      </w:r>
    </w:p>
    <w:p w14:paraId="136C3170" w14:textId="77777777" w:rsidR="002A63A2" w:rsidRPr="00850CC8" w:rsidRDefault="002A63A2"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Israel’s covenant with YHWH follows this pattern. Deuteronomy 28 contains an extensive curse section, actually longer than the blessing section. The curses detail what will happen if Israel violates covenant, and the language is intense, specific, disturbing. But it is standard covenant language for that time and place.</w:t>
      </w:r>
    </w:p>
    <w:p w14:paraId="38B15334" w14:textId="77777777" w:rsidR="002A63A2" w:rsidRPr="00850CC8" w:rsidRDefault="002A63A2"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Against this background, the imprecatory psalms become more intelligible. They are using the established language of covenant and treaty to appeal to God as covenant partner. When the psalmist asks God to judge enemies, he is essentially saying: “These people have violated covenant. They have attacked your people. They have broken faith. The curses you established for covenant violation should now be enacted.”</w:t>
      </w:r>
      <w:r>
        <w:rPr>
          <w:rFonts w:ascii="Times New Roman" w:hAnsi="Times New Roman" w:cs="Times New Roman"/>
          <w:sz w:val="22"/>
          <w:szCs w:val="22"/>
          <w:vertAlign w:val="superscript"/>
        </w:rPr>
        <w:t>7</w:t>
      </w:r>
    </w:p>
    <w:p w14:paraId="05D1D09B" w14:textId="77777777" w:rsidR="002A63A2" w:rsidRPr="00850CC8" w:rsidRDefault="002A63A2"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But Israel’s use of curse language differs from surrounding nations in at least two important ways.</w:t>
      </w:r>
    </w:p>
    <w:p w14:paraId="5D3C6E33" w14:textId="77777777" w:rsidR="002A63A2" w:rsidRPr="00850CC8" w:rsidRDefault="002A63A2"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First, these curses are directed to God, not enacted by humans. Ancient Near Eastern treaties assumed that if one party violated the treaty, the other party would invoke both divine and human action. The gods would curse, but the offended king would also act militarily. Israel’s imprecatory psalms consistently direct the curse to God alone. The psalmist asks God to act. He does not organize military response. He does not take personal vengeance. He prays. This represents a significant modification of standard ancient Near Eastern practice; the curse is theologized, directed upward rather than enacted horizontally.</w:t>
      </w:r>
    </w:p>
    <w:p w14:paraId="725C7497" w14:textId="77777777" w:rsidR="002A63A2" w:rsidRPr="00850CC8" w:rsidRDefault="002A63A2"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Second, these curses are grounded in moral categories, not merely national interest. Ancient treaties cursed those who broke agreements regardless of the moral content of those agreements. But Israel’s imprecatory psalms consistently appeal to God’s justice, to the righteousness or wickedness of those being cursed, to God’s character as just judge. Psalm 7 is explicit: “O LORD my God, if I have done this, if there is wrong in my hands, if I have repaid my friend with evil or plundered my enemy without cause, let the enemy pursue my soul and overtake it” (7:3–5). The psalmist essentially says: “Judge between us. If I’m wrong, curse me. If they’re wrong, curse them. Let righteousness determine outcome.”</w:t>
      </w:r>
    </w:p>
    <w:p w14:paraId="5FF1AB6E" w14:textId="77777777" w:rsidR="002A63A2" w:rsidRPr="00850CC8" w:rsidRDefault="002A63A2"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lastRenderedPageBreak/>
        <w:t>This moral grounding distinguishes Israel’s prayers from mere nationalism. The prophets make clear that Israel itself can be the object of covenant curses if it violates covenant. The imprecatory psalms are not asking God to favor Israel regardless of righteousness. They are asking God to defend justice, to vindicate the oppressed, to judge the wicked, and trusting that God’s judgment will be righteous.</w:t>
      </w:r>
    </w:p>
    <w:p w14:paraId="554A8E6D" w14:textId="77777777" w:rsidR="002A63A2" w:rsidRPr="00850CC8" w:rsidRDefault="002A63A2"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Understanding this ancient Near Eastern context helps us see that imprecatory language was not shocking to its original audience. It was the standard way to invoke divine involvement in human conflicts. What would have been shocking was failing to invoke God’s judgment when covenant was violated or justice was denied. The question was never “Should we ask God to judge?” but “Will God respond when we ask?” The imprecatory psalms are covenant prayers using covenant language to appeal to the covenant God for covenant justice.</w:t>
      </w:r>
    </w:p>
    <w:p w14:paraId="2846C1EB" w14:textId="77777777" w:rsidR="002A63A2" w:rsidRPr="00850CC8" w:rsidRDefault="002A63A2" w:rsidP="00850CC8">
      <w:pPr>
        <w:pStyle w:val="Heading2"/>
        <w:spacing w:line="276" w:lineRule="auto"/>
        <w:rPr>
          <w:rFonts w:ascii="Times New Roman" w:hAnsi="Times New Roman" w:cs="Times New Roman"/>
          <w:sz w:val="22"/>
          <w:szCs w:val="22"/>
        </w:rPr>
      </w:pPr>
      <w:bookmarkStart w:id="38" w:name="_Toc228335844"/>
      <w:r>
        <w:rPr>
          <w:rFonts w:ascii="Times New Roman" w:hAnsi="Times New Roman" w:cs="Times New Roman"/>
          <w:sz w:val="22"/>
          <w:szCs w:val="22"/>
        </w:rPr>
        <w:t>Exegetical Analysis: Three Representative Psalms</w:t>
      </w:r>
      <w:bookmarkEnd w:id="38"/>
    </w:p>
    <w:p w14:paraId="3D8A1170" w14:textId="77777777" w:rsidR="002A63A2" w:rsidRPr="00850CC8" w:rsidRDefault="002A63A2"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To deepen our understanding, let us examine three representative imprecatory psalms in detail: Psalm 137 (the cry of exile), Psalm 109 (personal betrayal), and Psalm 58 (corrupt justice).</w:t>
      </w:r>
    </w:p>
    <w:p w14:paraId="74CBD0F2" w14:textId="77777777" w:rsidR="002A63A2" w:rsidRPr="00850CC8" w:rsidRDefault="002A63A2" w:rsidP="00850CC8">
      <w:pPr>
        <w:spacing w:before="240" w:after="120" w:line="276" w:lineRule="auto"/>
        <w:rPr>
          <w:rFonts w:ascii="Times New Roman" w:hAnsi="Times New Roman" w:cs="Times New Roman"/>
          <w:sz w:val="22"/>
          <w:szCs w:val="22"/>
        </w:rPr>
      </w:pPr>
      <w:r>
        <w:rPr>
          <w:rFonts w:ascii="Times New Roman" w:hAnsi="Times New Roman" w:cs="Times New Roman"/>
          <w:b/>
          <w:bCs/>
          <w:sz w:val="22"/>
          <w:szCs w:val="22"/>
        </w:rPr>
        <w:t>Psalm 137: The Cry of Exile</w:t>
      </w:r>
    </w:p>
    <w:p w14:paraId="4A1BDD42" w14:textId="77777777" w:rsidR="002A63A2" w:rsidRPr="00850CC8" w:rsidRDefault="002A63A2"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Psalm 137 begins with haunting beauty: “By the waters of Babylon, there we sat down and wept, when we remembered Zion.” The exiles sit beside the irrigation canals of Babylon and remember Jerusalem. Their captors demand entertainment: “Sing us one of the songs of Zion!” (137:3). But “How shall we sing the LORD’s song in a foreign land?” (137:4).</w:t>
      </w:r>
    </w:p>
    <w:p w14:paraId="2A0404DE" w14:textId="77777777" w:rsidR="002A63A2" w:rsidRPr="00850CC8" w:rsidRDefault="002A63A2"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The psalm shifts to imprecation in verses 7–9. First, it addresses Edom: “Remember, O LORD, against the Edomites the day of Jerusalem, how they said, ‘Lay it bare, lay it bare, down to its foundations!’” Edom, related to Israel through Esau, joined Babylon in destroying Jerusalem. The betrayal was familial as well as political. Then the focus turns to Babylon itself:</w:t>
      </w:r>
    </w:p>
    <w:p w14:paraId="773B94F5" w14:textId="77777777" w:rsidR="002A63A2" w:rsidRPr="00850CC8" w:rsidRDefault="002A63A2" w:rsidP="00850CC8">
      <w:pPr>
        <w:spacing w:before="80" w:after="80" w:line="276" w:lineRule="auto"/>
        <w:ind w:left="720" w:right="720"/>
        <w:rPr>
          <w:rFonts w:ascii="Times New Roman" w:hAnsi="Times New Roman" w:cs="Times New Roman"/>
          <w:sz w:val="22"/>
          <w:szCs w:val="22"/>
        </w:rPr>
      </w:pPr>
      <w:r>
        <w:rPr>
          <w:rFonts w:ascii="Times New Roman" w:hAnsi="Times New Roman" w:cs="Times New Roman"/>
          <w:i/>
          <w:iCs/>
          <w:sz w:val="22"/>
          <w:szCs w:val="22"/>
        </w:rPr>
        <w:t>“O daughter of Babylon, doomed to be destroyed, blessed shall he be who repays you with what you have done to us! Blessed shall he be who takes your little ones and dashes them against the rock!” (137:8–9)</w:t>
      </w:r>
    </w:p>
    <w:p w14:paraId="43CE72D0" w14:textId="77777777" w:rsidR="002A63A2" w:rsidRPr="00850CC8" w:rsidRDefault="002A63A2"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This is the verse that troubles most readers.</w:t>
      </w:r>
    </w:p>
    <w:p w14:paraId="6217807C" w14:textId="77777777" w:rsidR="002A63A2" w:rsidRPr="00850CC8" w:rsidRDefault="002A63A2"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Several observations help us understand it. First, the Hebrew word translated “blessed” (</w:t>
      </w:r>
      <w:r>
        <w:rPr>
          <w:rFonts w:ascii="Times New Roman" w:hAnsi="Times New Roman" w:cs="Times New Roman"/>
          <w:i/>
          <w:iCs/>
          <w:sz w:val="22"/>
          <w:szCs w:val="22"/>
        </w:rPr>
        <w:t>ʿashre</w:t>
      </w:r>
      <w:r>
        <w:rPr>
          <w:rFonts w:ascii="Times New Roman" w:hAnsi="Times New Roman" w:cs="Times New Roman"/>
          <w:sz w:val="22"/>
          <w:szCs w:val="22"/>
        </w:rPr>
        <w:t>) is the same word that begins Psalm 1: “Blessed is the man who walks not in the counsel of the wicked.” It speaks of deep satisfaction, of rightness, of alignment with God’s order. The psalmist is saying that the one who repays Babylon will experience this rightness, not because violence itself is good, but because justice will have been done.</w:t>
      </w:r>
    </w:p>
    <w:p w14:paraId="3AA8F69B" w14:textId="77777777" w:rsidR="002A63A2" w:rsidRPr="00850CC8" w:rsidRDefault="002A63A2"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Second, the specific image, dashing infants against rocks, was not invented by the psalmist. It echoes what Babylon did to Jerusalem. Isaiah prophesied about Babylon: “Their infants will be dashed in pieces before their eyes” (Isaiah 13:16). Nahum used similar language about Nineveh (Nahum 3:10). This was standard ancient warfare practice. The psalmist is asking for equivalent treatment: may you experience what you inflicted.</w:t>
      </w:r>
    </w:p>
    <w:p w14:paraId="7F095ED0" w14:textId="77777777" w:rsidR="002A63A2" w:rsidRPr="00850CC8" w:rsidRDefault="002A63A2"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 xml:space="preserve">Third, notice what the psalmist does and does not do. He does not organize a military campaign against Babylon. He does not personally seek vengeance. He does not even pray that he himself might </w:t>
        <w:lastRenderedPageBreak/>
        <w:t>dash Babylonian children against rocks. He says “blessed shall he be” who does this: third person, distanced, committed to God’s timing and God’s agent. He brings his rage to God and leaves it there.</w:t>
      </w:r>
    </w:p>
    <w:p w14:paraId="25874ED8" w14:textId="77777777" w:rsidR="002A63A2" w:rsidRPr="00850CC8" w:rsidRDefault="002A63A2"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Derek Kidner notes that Psalm 137:9 is “the cry of the dispossessed; it expresses what Babylon’s victims would feel, not what Israel should do.”</w:t>
      </w:r>
      <w:r>
        <w:rPr>
          <w:rFonts w:ascii="Times New Roman" w:hAnsi="Times New Roman" w:cs="Times New Roman"/>
          <w:sz w:val="22"/>
          <w:szCs w:val="22"/>
          <w:vertAlign w:val="superscript"/>
        </w:rPr>
        <w:t>8</w:t>
      </w:r>
      <w:r>
        <w:rPr>
          <w:rFonts w:ascii="Times New Roman" w:hAnsi="Times New Roman" w:cs="Times New Roman"/>
          <w:sz w:val="22"/>
          <w:szCs w:val="22"/>
        </w:rPr>
        <w:t xml:space="preserve"> The psalm gives permission to feel the full weight of injustice, to honestly express the desire for equivalent suffering on perpetrators, without acting on that desire. It channels rage into prayer rather than action.</w:t>
      </w:r>
    </w:p>
    <w:p w14:paraId="52E882EB" w14:textId="77777777" w:rsidR="002A63A2" w:rsidRPr="00850CC8" w:rsidRDefault="002A63A2" w:rsidP="00850CC8">
      <w:pPr>
        <w:spacing w:before="240" w:after="120" w:line="276" w:lineRule="auto"/>
        <w:rPr>
          <w:rFonts w:ascii="Times New Roman" w:hAnsi="Times New Roman" w:cs="Times New Roman"/>
          <w:sz w:val="22"/>
          <w:szCs w:val="22"/>
        </w:rPr>
      </w:pPr>
      <w:r>
        <w:rPr>
          <w:rFonts w:ascii="Times New Roman" w:hAnsi="Times New Roman" w:cs="Times New Roman"/>
          <w:b/>
          <w:bCs/>
          <w:sz w:val="22"/>
          <w:szCs w:val="22"/>
        </w:rPr>
        <w:t>Psalm 109: The Cry of the Betrayed</w:t>
      </w:r>
    </w:p>
    <w:p w14:paraId="3CF35207" w14:textId="77777777" w:rsidR="002A63A2" w:rsidRPr="00850CC8" w:rsidRDefault="002A63A2"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Psalm 109 is perhaps the most intense personal imprecatory psalm. It begins with the psalmist’s plea: “Be not silent, O God of my praise! For wicked and deceitful mouths are opened against me, speaking against me with lying tongues” (109:1–2). He has been attacked with false accusations. Those he loved and helped have turned against him: “In return for my love they accuse me, but I give myself to prayer” (109:4).</w:t>
      </w:r>
    </w:p>
    <w:p w14:paraId="5D9EBC85" w14:textId="77777777" w:rsidR="002A63A2" w:rsidRPr="00850CC8" w:rsidRDefault="002A63A2"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Then comes the imprecatory section (verses 6–19). He asks that his accuser be convicted: “Appoint a wicked man against him; let an accuser stand at his right hand. When he is tried, let him come forth guilty; let his prayer be counted as sin!” (109:6–7). The image is of a courtroom where the roles are reversed: the false accuser becomes the defendant, and his own prayers for vindication are rejected as sinful.</w:t>
      </w:r>
    </w:p>
    <w:p w14:paraId="2DB31C53" w14:textId="77777777" w:rsidR="002A63A2" w:rsidRPr="00850CC8" w:rsidRDefault="002A63A2"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The prayer intensifies: “May his days be few; may another take his office! May his children be fatherless and his wife a widow! May his children wander about and beg, seeking food far from the ruins they inhabit! May the creditor seize all that he has; may strangers plunder the fruits of his toil!” (109:8–11). This is comprehensive ruin, personal, familial, economic. The psalmist wants his enemy destroyed utterly.</w:t>
      </w:r>
    </w:p>
    <w:p w14:paraId="4B52661B" w14:textId="77777777" w:rsidR="002A63A2" w:rsidRPr="00850CC8" w:rsidRDefault="002A63A2"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Why such intensity? The reason appears in verses 16–18: “For he did not remember to show kindness, but pursued the poor and needy and the brokenhearted, to put them to death. He loved to curse; let curses come upon him! He did not delight in blessing; may it be far from him! He clothed himself with cursing as his coat; may it soak into his body like water, like oil into his bones!” The enemy is characterized by systematic oppression of the vulnerable, by delight in cursing others, by building his life around causing harm.</w:t>
      </w:r>
    </w:p>
    <w:p w14:paraId="3323FE5D" w14:textId="77777777" w:rsidR="002A63A2" w:rsidRPr="00850CC8" w:rsidRDefault="002A63A2"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The psalm is asking for measure-for-measure justice: “He loved to curse; let curses come upon him!” The prayer requests that the curser become the cursed, that the destroyer be destroyed, that the oppressor experience oppression. This is not arbitrary cruelty but retributive equivalence.</w:t>
      </w:r>
    </w:p>
    <w:p w14:paraId="06E2067D" w14:textId="77777777" w:rsidR="002A63A2" w:rsidRPr="00850CC8" w:rsidRDefault="002A63A2"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Verse 21 shifts the tone: “But you, O GOD my Lord, deal on my behalf for your name’s sake.” The psalmist appeals to God’s character and reputation. He bases his request not merely on his own suffering but on God’s name, God’s commitment to justice, God’s nature as defender of the oppressed. The prayer concludes with confidence: “For he stands at the right hand of the needy one, to save him from those who condemn his soul to death” (109:31).</w:t>
      </w:r>
    </w:p>
    <w:p w14:paraId="281F8E94" w14:textId="77777777" w:rsidR="002A63A2" w:rsidRPr="00850CC8" w:rsidRDefault="002A63A2"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Psalm 109 models what it looks like to bring raw emotion, anger, desire for vindication, longing for equivalent suffering on enemies, before God while trusting him to respond according to his character and timing. The psalmist does not suppress his feelings. He brings it all to God.</w:t>
      </w:r>
    </w:p>
    <w:p w14:paraId="5DAD7AD6" w14:textId="77777777" w:rsidR="002A63A2" w:rsidRPr="00850CC8" w:rsidRDefault="002A63A2" w:rsidP="00850CC8">
      <w:pPr>
        <w:spacing w:before="240" w:after="120" w:line="276" w:lineRule="auto"/>
        <w:rPr>
          <w:rFonts w:ascii="Times New Roman" w:hAnsi="Times New Roman" w:cs="Times New Roman"/>
          <w:sz w:val="22"/>
          <w:szCs w:val="22"/>
        </w:rPr>
      </w:pPr>
      <w:r>
        <w:rPr>
          <w:rFonts w:ascii="Times New Roman" w:hAnsi="Times New Roman" w:cs="Times New Roman"/>
          <w:b/>
          <w:bCs/>
          <w:sz w:val="22"/>
          <w:szCs w:val="22"/>
        </w:rPr>
        <w:lastRenderedPageBreak/>
        <w:t>Psalm 58: Corrupt Judges and Divine Justice</w:t>
      </w:r>
    </w:p>
    <w:p w14:paraId="634E50FC" w14:textId="77777777" w:rsidR="002A63A2" w:rsidRPr="00850CC8" w:rsidRDefault="002A63A2"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Psalm 58 addresses a specific type of evil: corrupt judges. It begins with sarcasm: “Do you indeed decree what is right, you gods? Do you judge the children of man uprightly?” (58:1). The rhetorical question drips with irony. Then comes the indictment: “No, in your hearts you devise wrongs; your hands deal out violence on earth” (58:2). These are officials whose job is to weigh evidence and render just verdicts. But they use their position to harm rather than help, to oppress rather than protect.</w:t>
      </w:r>
    </w:p>
    <w:p w14:paraId="4E85CD4E" w14:textId="77777777" w:rsidR="002A63A2" w:rsidRPr="00850CC8" w:rsidRDefault="002A63A2"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Then come the imprecatory requests, structured as vivid metaphors. “O God, break the teeth in their mouths; tear out the fangs of the young lions, O LORD!” (58:6), the image of dangerous predators rendered harmless. “Let them vanish like water that runs away; when he aims his arrows, let them be blunted” (58:7): make their attacks ineffective, their weapons useless. “Let them be like the snail that dissolves into slime, like the stillborn child who never sees the sun” (58:8): complete elimination, as if they had never existed.</w:t>
      </w:r>
    </w:p>
    <w:p w14:paraId="7E22098A" w14:textId="77777777" w:rsidR="002A63A2" w:rsidRPr="00850CC8" w:rsidRDefault="002A63A2"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Why such graphic imagery? Because the psalmist is addressing officials who systematically pervert justice. When those charged with administering justice instead administer injustice, when judges become oppressors, when the legal system itself is weaponized against the innocent, the very foundations of society are undermined. The intensity of the prayer matches the severity of the crime.</w:t>
      </w:r>
    </w:p>
    <w:p w14:paraId="7AD4FC06" w14:textId="77777777" w:rsidR="002A63A2" w:rsidRPr="00850CC8" w:rsidRDefault="002A63A2"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The psalm concludes with the purpose of this judgment: “Mankind will say, ‘Surely there is a reward for the righteous; surely there is a God who judges on earth’” (58:11). The prayer for judgment on corrupt judges is grounded in concern for God’s reputation and for moral order. If evil prospers and good suffers, if corrupt judges go unpunished while innocent victims are destroyed, people will conclude that God does not care about justice. The imprecatory prayer asks God to act so that his justice will be vindicated and moral order restored.</w:t>
      </w:r>
    </w:p>
    <w:p w14:paraId="57D56CFC" w14:textId="77777777" w:rsidR="002A63A2" w:rsidRPr="00850CC8" w:rsidRDefault="002A63A2"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These three psalms, 137, 109, and 58, represent different contexts (corporate exile, personal betrayal, systematic corruption) but share common features. They bring honest emotion before God. They appeal to his justice. They use vivid, sometimes disturbing language. They refuse to let evil be normalized. And critically, they commit judgment to God rather than taking vengeance themselves.</w:t>
      </w:r>
    </w:p>
    <w:p w14:paraId="31C2F4A9" w14:textId="77777777" w:rsidR="002A63A2" w:rsidRPr="00850CC8" w:rsidRDefault="002A63A2" w:rsidP="00850CC8">
      <w:pPr>
        <w:pStyle w:val="Heading2"/>
        <w:spacing w:line="276" w:lineRule="auto"/>
        <w:rPr>
          <w:rFonts w:ascii="Times New Roman" w:hAnsi="Times New Roman" w:cs="Times New Roman"/>
          <w:sz w:val="22"/>
          <w:szCs w:val="22"/>
        </w:rPr>
      </w:pPr>
      <w:bookmarkStart w:id="39" w:name="_Toc228335845"/>
      <w:r>
        <w:rPr>
          <w:rFonts w:ascii="Times New Roman" w:hAnsi="Times New Roman" w:cs="Times New Roman"/>
          <w:sz w:val="22"/>
          <w:szCs w:val="22"/>
        </w:rPr>
        <w:t>The New Testament Transformation: Love Enemies and Pray for Justice</w:t>
      </w:r>
      <w:bookmarkEnd w:id="39"/>
    </w:p>
    <w:p w14:paraId="1F30CD90" w14:textId="77777777" w:rsidR="002A63A2" w:rsidRPr="00850CC8" w:rsidRDefault="002A63A2"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But how do we reconcile the imprecatory psalms with Jesus’s command to love our enemies? Does the New Testament abolish these prayers? Does Jesus’s teaching render them obsolete?</w:t>
      </w:r>
    </w:p>
    <w:p w14:paraId="2E4AE2CF" w14:textId="77777777" w:rsidR="002A63A2" w:rsidRPr="00850CC8" w:rsidRDefault="002A63A2"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The answer is both yes and no.</w:t>
      </w:r>
    </w:p>
    <w:p w14:paraId="09EBDC58" w14:textId="77777777" w:rsidR="002A63A2" w:rsidRPr="00850CC8" w:rsidRDefault="002A63A2"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Christ transforms how we relate to personal enemies. Jesus explicitly commands: “Love your enemies and pray for those who persecute you” (Matthew 5:44). He models this from the cross: “Father, forgive them, for they know not what they do” (Luke 23:34). Stephen follows his example: “Lord, do not hold this sin against them” (Acts 7:60). Paul instructs: “Bless those who persecute you; bless and do not curse them” (Romans 12:14). This represents a real ethical advance, a transformation in how God’s people relate to opponents.</w:t>
      </w:r>
    </w:p>
    <w:p w14:paraId="3870D7D6" w14:textId="77777777" w:rsidR="002A63A2" w:rsidRPr="00850CC8" w:rsidRDefault="002A63A2"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 xml:space="preserve">But this transformation does not eliminate all distinctions. It does not collapse all categories. Jesus’s command to love enemies addresses how we treat personal opponents, those who insult us, sue us, </w:t>
        <w:lastRenderedPageBreak/>
        <w:t>strike us, persecute us as individuals. The Sermon on the Mount envisions face-to-face conflict between individuals or small groups. It establishes a pattern for interpersonal ethics.</w:t>
      </w:r>
    </w:p>
    <w:p w14:paraId="5C150B9A" w14:textId="77777777" w:rsidR="002A63A2" w:rsidRPr="00850CC8" w:rsidRDefault="002A63A2"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The imprecatory psalms, by contrast, address systematic evil, corporate oppression, and those who oppose God’s purposes (not merely our personal interests). When the psalmist prays against “those who hate you, O LORD” (Psalm 139:21), he is not addressing personal slights but cosmic rebellion. When Psalm 137 cries out against Babylon, it addresses genocide and the attempted destruction of God’s covenant people. When Psalm 58 prays against corrupt judges, it confronts systematic perversion of justice.</w:t>
      </w:r>
    </w:p>
    <w:p w14:paraId="2E6AEB23" w14:textId="77777777" w:rsidR="002A63A2" w:rsidRPr="00850CC8" w:rsidRDefault="002A63A2"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These categories remain even in the New Testament.</w:t>
      </w:r>
    </w:p>
    <w:p w14:paraId="56CB6F89" w14:textId="77777777" w:rsidR="002A63A2" w:rsidRPr="00850CC8" w:rsidRDefault="002A63A2"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Even after Jesus’s teaching, the longing for justice persists. Revelation 6:9–10 shows martyred saints crying out: “O Sovereign Lord, holy and true, how long before you will judge and avenge our blood on those who dwell on the earth?” This is imprecatory prayer in the New Testament, believers asking God to bring judgment upon persecutors. The answer is not rebuke but patience: they are told to “rest a little longer” until the full number of martyrs is complete (6:11). The prayer is appropriate; the timing is God’s.</w:t>
      </w:r>
    </w:p>
    <w:p w14:paraId="5582C218" w14:textId="77777777" w:rsidR="002A63A2" w:rsidRPr="00850CC8" w:rsidRDefault="002A63A2"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Richard Bauckham argues that this passage in Revelation demonstrates that longing for divine judgment remains legitimate for the church. The martyrs are not rebuked for their prayer. They are told to wait, which implies their prayer will eventually be answered. The cry “How long?” is validated, not condemned. What changes from Old to New Testament is not whether we may ask God for judgment but how we treat enemies while we wait for God to judge.</w:t>
      </w:r>
      <w:r>
        <w:rPr>
          <w:rFonts w:ascii="Times New Roman" w:hAnsi="Times New Roman" w:cs="Times New Roman"/>
          <w:sz w:val="22"/>
          <w:szCs w:val="22"/>
          <w:vertAlign w:val="superscript"/>
        </w:rPr>
        <w:t>9</w:t>
      </w:r>
    </w:p>
    <w:p w14:paraId="145CFF11" w14:textId="77777777" w:rsidR="002A63A2" w:rsidRPr="00850CC8" w:rsidRDefault="002A63A2"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Romans 12:19–20 provides the interpretive key: “Beloved, never avenge yourselves, but leave it to the wrath of God, for it is written, ‘Vengeance is mine, I will repay, says the Lord.’ To the contrary, ‘if your enemy is hungry, feed him; if he is thirsty, give him something to drink.’” Paul does not eliminate God’s wrath. He does not remove the expectation of judgment. Rather, he insists that vengeance belongs to God alone, that we must not take it into our own hands, and that we must treat enemies with mercy while we await God’s judgment.</w:t>
      </w:r>
    </w:p>
    <w:p w14:paraId="4EB1FBAD" w14:textId="77777777" w:rsidR="002A63A2" w:rsidRPr="00850CC8" w:rsidRDefault="002A63A2"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This framework allows for paradox.</w:t>
      </w:r>
    </w:p>
    <w:p w14:paraId="1D110726" w14:textId="77777777" w:rsidR="002A63A2" w:rsidRPr="00850CC8" w:rsidRDefault="002A63A2"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We can cry out for justice while forgiving personal wrongs. We can long for God’s judgment while showing mercy to enemies. We can honestly acknowledge rage at evil while committing vengeance to God alone. The imprecatory psalms, read through Christ, become prayers that simultaneously acknowledge the reality and seriousness of evil, commit judgment to God rather than taking personal vengeance, maintain hope for ultimate justice, and free us to love and forgive enemies in the present because we trust God will judge rightly in the future.</w:t>
      </w:r>
    </w:p>
    <w:p w14:paraId="314BF47A" w14:textId="77777777" w:rsidR="002A63A2" w:rsidRPr="00850CC8" w:rsidRDefault="002A63A2"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The cross becomes the interpretive lens. Jesus absorbed violence rather than inflicting it. He prayed for enemies rather than cursing them. He trusted God’s judgment rather than executing his own. Yet he also spoke of coming judgment, warned of hell, and promised vindication for the oppressed. The Christian pattern is cross-shaped: bearing evil in the present, trusting God for justice in the future.</w:t>
      </w:r>
    </w:p>
    <w:p w14:paraId="49EEC496" w14:textId="77777777" w:rsidR="002A63A2" w:rsidRPr="00850CC8" w:rsidRDefault="002A63A2"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 xml:space="preserve">This means the imprecatory psalms are not models for Christian behavior but models for Christian prayer. We do not imitate everything they express. We do not pray for enemy children to be </w:t>
        <w:lastRenderedPageBreak/>
        <w:t>killed. But we do bring our honest emotions before God. We do cry out for justice. We do maintain hope that God will vindicate the oppressed and judge the wicked. We do commit judgment to him rather than taking it ourselves.</w:t>
      </w:r>
    </w:p>
    <w:p w14:paraId="67F88748" w14:textId="77777777" w:rsidR="002A63A2" w:rsidRPr="00850CC8" w:rsidRDefault="002A63A2"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Craig Evans captures this dynamic well when he argues that Jesus transforms the imprecatory psalms without abolishing them. They are fulfilled in the coming judgment at Christ’s return. They are spiritualized insofar as the church’s battle is “not against flesh and blood” (Ephesians 6:12). But they are not eliminated. The cry for justice remains valid. The confidence that God will judge remains necessary. What changes is how we relate to enemies while we await that judgment.</w:t>
      </w:r>
      <w:r>
        <w:rPr>
          <w:rFonts w:ascii="Times New Roman" w:hAnsi="Times New Roman" w:cs="Times New Roman"/>
          <w:sz w:val="22"/>
          <w:szCs w:val="22"/>
          <w:vertAlign w:val="superscript"/>
        </w:rPr>
        <w:t>10</w:t>
      </w:r>
    </w:p>
    <w:p w14:paraId="446AB85D" w14:textId="77777777" w:rsidR="002A63A2" w:rsidRPr="00850CC8" w:rsidRDefault="002A63A2" w:rsidP="00850CC8">
      <w:pPr>
        <w:pStyle w:val="Heading2"/>
        <w:spacing w:line="276" w:lineRule="auto"/>
        <w:rPr>
          <w:rFonts w:ascii="Times New Roman" w:hAnsi="Times New Roman" w:cs="Times New Roman"/>
          <w:sz w:val="22"/>
          <w:szCs w:val="22"/>
        </w:rPr>
      </w:pPr>
      <w:bookmarkStart w:id="40" w:name="_Toc228335846"/>
      <w:r>
        <w:rPr>
          <w:rFonts w:ascii="Times New Roman" w:hAnsi="Times New Roman" w:cs="Times New Roman"/>
          <w:sz w:val="22"/>
          <w:szCs w:val="22"/>
        </w:rPr>
        <w:t>Contemporary Application: When and How We Pray These Psalms</w:t>
      </w:r>
      <w:bookmarkEnd w:id="40"/>
    </w:p>
    <w:p w14:paraId="4D2F8E24" w14:textId="77777777" w:rsidR="002A63A2" w:rsidRPr="00850CC8" w:rsidRDefault="002A63A2"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How, then, should contemporary believers use the imprecatory psalms? The question is pastoral as much as theological. When should we pray them? How should we pray them? What role do they play in Christian spirituality?</w:t>
      </w:r>
    </w:p>
    <w:p w14:paraId="346CEA6C" w14:textId="77777777" w:rsidR="002A63A2" w:rsidRPr="00850CC8" w:rsidRDefault="002A63A2"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First, we should pray them as Scripture. They are the word of God, preserved and transmitted for a purpose. To exclude them entirely from our prayer is to reject part of what God has given for instruction. We may find them uncomfortable, but discomfort can be formative. These psalms challenge sentimentalized versions of faith and force us to grapple with harder realities. A church that never prays the imprecatory psalms is a church that has decided certain emotions and situations are not fit for prayer.</w:t>
      </w:r>
      <w:r>
        <w:rPr>
          <w:rFonts w:ascii="Times New Roman" w:hAnsi="Times New Roman" w:cs="Times New Roman"/>
          <w:sz w:val="22"/>
          <w:szCs w:val="22"/>
          <w:vertAlign w:val="superscript"/>
        </w:rPr>
        <w:t>11</w:t>
      </w:r>
    </w:p>
    <w:p w14:paraId="516A07ED" w14:textId="77777777" w:rsidR="002A63A2" w:rsidRPr="00850CC8" w:rsidRDefault="002A63A2"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Second, we should pray them honestly. They give permission to bring actual emotions before God, anger at injustice, grief at suffering, longing for vindication. When we witness genocide, sex trafficking, systematic oppression, abuse, or corruption, sanitized prayers are inadequate. The imprecatory psalms allow us to cry out to God with full-throated honesty about the horror of evil. They validate feelings that polite religion tries to suppress.</w:t>
      </w:r>
    </w:p>
    <w:p w14:paraId="6BBEEF01" w14:textId="77777777" w:rsidR="002A63A2" w:rsidRPr="00850CC8" w:rsidRDefault="002A63A2"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Third, we should pray them corporately more than individually. These psalms emerge from corporate contexts, the people of God crying out against those who threaten God’s purposes through his people. They function best as communal prayers against systematic evil rather than individual prayers against personal opponents. A church praying Psalm 137 during a study of modern persecution can appropriately cry out for justice for persecuted believers. An individual praying Psalm 109 against a neighbor who annoyed him has fundamentally misunderstood the psalm’s function.</w:t>
      </w:r>
    </w:p>
    <w:p w14:paraId="16E3E663" w14:textId="77777777" w:rsidR="002A63A2" w:rsidRPr="00850CC8" w:rsidRDefault="002A63A2"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Fourth, we should pray them with awareness of our limitations. We are not always right about who the real enemies are. Our judgment is clouded by sin, self-interest, and cultural bias. When we pray imprecatory psalms, we must pray with humility, acknowledging that God’s judgment is more discriminating than ours, that his timing is wiser than ours, that he may see things we do not see. We pray “Your will be done” even as we cry “How long?”</w:t>
      </w:r>
    </w:p>
    <w:p w14:paraId="400A2288" w14:textId="77777777" w:rsidR="002A63A2" w:rsidRPr="00850CC8" w:rsidRDefault="002A63A2"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Fifth, we should pray them as commitments of judgment to God. The function of these psalms is to channel the desire for justice away from personal vengeance and toward divine judgment. They model bringing our desire for justice to God and leaving the response to him. When we pray these psalms, we acknowledge that judgment belongs to God alone, that we cannot and should not execute it ourselves, that we trust his wisdom and timing even when justice is delayed.</w:t>
      </w:r>
    </w:p>
    <w:p w14:paraId="5FDB8895" w14:textId="77777777" w:rsidR="002A63A2" w:rsidRPr="00850CC8" w:rsidRDefault="002A63A2"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lastRenderedPageBreak/>
        <w:t>Sixth, we should pray them eschatologically. We recognize that final justice awaits Christ’s return. In the present age, we pray for transformation and offer grace. But we also maintain hope that God will ultimately make all things right, that evil will not triumph, that victims will be vindicated. The imprecatory psalms help us maintain eschatological hope without taking justice into our own hands in the present.</w:t>
      </w:r>
    </w:p>
    <w:p w14:paraId="0413996B" w14:textId="77777777" w:rsidR="002A63A2" w:rsidRPr="00850CC8" w:rsidRDefault="002A63A2"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Finally, we learn from them about God’s character. The imprecatory psalms reveal a God who cares about justice, who hears the cries of the oppressed, who will not ultimately tolerate evil, who sides with victims against oppressors. They remind us that God is not neutral in the face of evil, that his love includes righteous anger at injustice, that his mercy does not eliminate his justice. They correct any tendency to reduce God to a cosmic therapist who only affirms and never confronts, who only comforts and never judges.</w:t>
      </w:r>
    </w:p>
    <w:p w14:paraId="7EF156D0" w14:textId="77777777" w:rsidR="002A63A2" w:rsidRPr="00850CC8" w:rsidRDefault="002A63A2"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The imprecatory psalms, used rightly, can deepen our prayer life, give voice to suffering, maintain hope for justice, and keep us from taking vengeance into our own hands. They are not comfortable, but they are real. They do not make faith easy, but they make it honest. They are Scripture, and when read through Christ, they continue to shape how God’s people pray.</w:t>
      </w:r>
    </w:p>
    <w:p w14:paraId="0B9C6B91" w14:textId="77777777" w:rsidR="002A63A2" w:rsidRPr="00850CC8" w:rsidRDefault="002A63A2" w:rsidP="00850CC8">
      <w:pPr>
        <w:pStyle w:val="Heading2"/>
        <w:spacing w:line="276" w:lineRule="auto"/>
        <w:rPr>
          <w:rFonts w:ascii="Times New Roman" w:hAnsi="Times New Roman" w:cs="Times New Roman"/>
          <w:sz w:val="22"/>
          <w:szCs w:val="22"/>
        </w:rPr>
      </w:pPr>
      <w:bookmarkStart w:id="41" w:name="_Toc228335847"/>
      <w:r>
        <w:rPr>
          <w:rFonts w:ascii="Times New Roman" w:hAnsi="Times New Roman" w:cs="Times New Roman"/>
          <w:sz w:val="22"/>
          <w:szCs w:val="22"/>
        </w:rPr>
        <w:t>Conclusion: The Cry for Justice and the Call to Love</w:t>
      </w:r>
      <w:bookmarkEnd w:id="41"/>
    </w:p>
    <w:p w14:paraId="0AD752DA" w14:textId="77777777" w:rsidR="002A63A2" w:rsidRPr="00850CC8" w:rsidRDefault="002A63A2"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We began this chapter acknowledging that the imprecatory psalms trouble us differently than conquest narratives or the Flood. They are not accounts of what God did but prayers for what we ask God to do. They shape not merely how we think about divine action but how we ourselves pray.</w:t>
      </w:r>
    </w:p>
    <w:p w14:paraId="01921904" w14:textId="77777777" w:rsidR="002A63A2" w:rsidRPr="00850CC8" w:rsidRDefault="002A63A2"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And their language is often shocking.</w:t>
      </w:r>
    </w:p>
    <w:p w14:paraId="5CD65B2F" w14:textId="77777777" w:rsidR="002A63A2" w:rsidRPr="00850CC8" w:rsidRDefault="002A63A2"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But we have seen that the relational framework illuminates these psalms in important ways. They emerge from covenant relationship, prayers by those who know themselves to be God’s people, addressing a God who has bound himself to defend them. They function as honest prayer that refuses to sanitize emotion or pretend we do not feel rage at evil. They cry out for justice in situations of oppression and persecution. They use the standard language of ancient Near Eastern treaty and covenant. They channel the desire for vengeance toward God rather than toward personal retaliation.</w:t>
      </w:r>
    </w:p>
    <w:p w14:paraId="267504C6" w14:textId="77777777" w:rsidR="002A63A2" w:rsidRPr="00850CC8" w:rsidRDefault="002A63A2"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Christ transforms but does not abolish these prayers. He calls us to love enemies, and the imprecatory psalms, paradoxically, help us do so. By committing judgment to God, we free ourselves from the burden of personal vengeance. By crying out for justice while offering mercy, we maintain both realism about evil and hope for transformation. By trusting God to act in his time, we can bear suffering without either despair or rage.</w:t>
      </w:r>
    </w:p>
    <w:p w14:paraId="7244F80B" w14:textId="77777777" w:rsidR="002A63A2" w:rsidRPr="00850CC8" w:rsidRDefault="002A63A2"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The imprecatory psalms keep before us uncomfortable truths. Evil is real. Injustice matters. God is not neutral. Judgment is coming. Victims have standing to cry out for vindication. These are truths our age prefers to forget. We want a God who is only love without judgment, mercy without justice, acceptance without holiness.</w:t>
      </w:r>
    </w:p>
    <w:p w14:paraId="5AECAF36" w14:textId="77777777" w:rsidR="002A63A2" w:rsidRPr="00850CC8" w:rsidRDefault="002A63A2"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But such a God cannot set things right.</w:t>
      </w:r>
    </w:p>
    <w:p w14:paraId="450A9624" w14:textId="77777777" w:rsidR="002A63A2" w:rsidRPr="00850CC8" w:rsidRDefault="002A63A2"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 xml:space="preserve">Such a God cannot vindicate the oppressed. Such a God cannot ultimately satisfy our deepest longing for moral order. The imprecatory psalms insist on a God who hears the cry of victims, who sides </w:t>
        <w:lastRenderedPageBreak/>
        <w:t>against oppressors, who will not tolerate evil forever, who will ultimately make all things right. They give permission to honest rage while directing that rage toward prayer rather than vengeance. They maintain hope for justice while freeing us to offer mercy in the present.</w:t>
      </w:r>
    </w:p>
    <w:p w14:paraId="422EAFA8" w14:textId="77777777" w:rsidR="002A63A2" w:rsidRPr="00850CC8" w:rsidRDefault="002A63A2"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Used rightly, these difficult psalms deepen faith rather than undermine it. They make prayer more honest, hope more resilient, love more realistic. They remind us that following Jesus does not mean pretending evil does not exist or that rage never afflicts us. It means bringing everything, including our darkest emotions and hardest questions, before the God who hears, who understands, and who will ultimately set all things right.</w:t>
      </w:r>
    </w:p>
    <w:p w14:paraId="14158BF0" w14:textId="77777777" w:rsidR="002A63A2" w:rsidRPr="00850CC8" w:rsidRDefault="002A63A2"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The tension between crying out for justice and loving enemies is not a problem to solve but a reality to live. It is the shape of discipleship in a fallen world: bearing evil in the present while trusting God for judgment in the future, offering mercy to opponents while crying out for vindication of victims, forgiving personal wrongs while maintaining outrage at systematic oppression.</w:t>
      </w:r>
    </w:p>
    <w:p w14:paraId="19A629BE" w14:textId="77777777" w:rsidR="002A63A2" w:rsidRPr="00850CC8" w:rsidRDefault="002A63A2"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The imprecatory psalms help us navigate this tension. They show us how to hold both justice and mercy, both rage and love, both hope for judgment and practice of forgiveness. They refuse easy answers while insisting on honest faith. They validate suffering while directing us toward God. They are Scripture, difficult Scripture, uncomfortable Scripture, but Scripture nonetheless, and like all Scripture they are “profitable for teaching, for reproof, for correction, and for training in righteousness” (2 Timothy 3:16).</w:t>
      </w:r>
    </w:p>
    <w:p w14:paraId="169C104E" w14:textId="77777777" w:rsidR="002A63A2" w:rsidRPr="00850CC8" w:rsidRDefault="002A63A2"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We have now examined three of the hardest cases in Scripture: the Canaanite conquest, the Flood, and the imprecatory psalms. In each case, the relational framework has provided tools for understanding without either dismissing troubling texts or uncritically accepting every aspect of them. Different relationships generate different obligations. Covenant creates categories that shape appropriate response. God’s purposes through his people illuminate actions that would otherwise appear arbitrary or cruel.</w:t>
      </w:r>
    </w:p>
    <w:p w14:paraId="7C2A2F3D" w14:textId="77777777" w:rsidR="002A63A2" w:rsidRPr="00850CC8" w:rsidRDefault="002A63A2"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But the framework does more than explain hard texts. It also shapes how we live. If relationship determines obligation, then Christian ethics must attend carefully to the various relationships we inhabit, with God, with family, with church, with neighbors, with enemies, with creation itself. The same relational logic that illuminates Scripture must inform practice.</w:t>
      </w:r>
    </w:p>
    <w:p w14:paraId="79632C1F" w14:textId="77777777" w:rsidR="002A63A2" w:rsidRPr="00850CC8" w:rsidRDefault="002A63A2"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To this task we now turn.</w:t>
      </w:r>
    </w:p>
    <w:p w14:paraId="6CA08FEE" w14:textId="77777777" w:rsidR="002A63A2" w:rsidRPr="00850CC8" w:rsidRDefault="002A63A2" w:rsidP="00850CC8">
      <w:pPr>
        <w:spacing w:before="480" w:after="200" w:line="276" w:lineRule="auto"/>
        <w:rPr>
          <w:rFonts w:ascii="Times New Roman" w:hAnsi="Times New Roman" w:cs="Times New Roman"/>
          <w:sz w:val="22"/>
          <w:szCs w:val="22"/>
        </w:rPr>
      </w:pPr>
      <w:r>
        <w:rPr>
          <w:rFonts w:ascii="Times New Roman" w:hAnsi="Times New Roman" w:cs="Times New Roman"/>
          <w:b/>
          <w:bCs/>
          <w:sz w:val="22"/>
          <w:szCs w:val="22"/>
        </w:rPr>
        <w:t>Notes</w:t>
      </w:r>
    </w:p>
    <w:p w14:paraId="66BE823D" w14:textId="77777777" w:rsidR="002A63A2" w:rsidRPr="00850CC8" w:rsidRDefault="002A63A2" w:rsidP="00850CC8">
      <w:pPr>
        <w:spacing w:after="120" w:line="276" w:lineRule="auto"/>
        <w:ind w:left="360" w:hanging="360"/>
        <w:rPr>
          <w:rFonts w:ascii="Times New Roman" w:hAnsi="Times New Roman" w:cs="Times New Roman"/>
          <w:sz w:val="22"/>
          <w:szCs w:val="22"/>
        </w:rPr>
      </w:pPr>
      <w:r>
        <w:rPr>
          <w:rFonts w:ascii="Times New Roman" w:hAnsi="Times New Roman" w:cs="Times New Roman"/>
          <w:b/>
          <w:bCs/>
          <w:sz w:val="22"/>
          <w:szCs w:val="22"/>
        </w:rPr>
        <w:t>1. </w:t>
      </w:r>
      <w:r>
        <w:rPr>
          <w:rFonts w:ascii="Times New Roman" w:hAnsi="Times New Roman" w:cs="Times New Roman"/>
          <w:sz w:val="22"/>
          <w:szCs w:val="22"/>
        </w:rPr>
        <w:t xml:space="preserve">C. S. Lewis, </w:t>
      </w:r>
      <w:r>
        <w:rPr>
          <w:rFonts w:ascii="Times New Roman" w:hAnsi="Times New Roman" w:cs="Times New Roman"/>
          <w:i/>
          <w:iCs/>
          <w:sz w:val="22"/>
          <w:szCs w:val="22"/>
        </w:rPr>
        <w:t>Reflections on the Psalms</w:t>
      </w:r>
      <w:r>
        <w:rPr>
          <w:rFonts w:ascii="Times New Roman" w:hAnsi="Times New Roman" w:cs="Times New Roman"/>
          <w:sz w:val="22"/>
          <w:szCs w:val="22"/>
        </w:rPr>
        <w:t xml:space="preserve"> (New York: Harcourt, Brace, 1958), 20–25. Lewis struggled significantly with the imprecatory psalms, calling them “terrifying” and admitting they presented real difficulties for Christian use. His treatment remains valuable as an example of an honest believer wrestling with the material without resolving it too quickly. For a more systematic treatment of the same discomfort, see J. Clinton McCann Jr., </w:t>
      </w:r>
      <w:r>
        <w:rPr>
          <w:rFonts w:ascii="Times New Roman" w:hAnsi="Times New Roman" w:cs="Times New Roman"/>
          <w:i/>
          <w:iCs/>
          <w:sz w:val="22"/>
          <w:szCs w:val="22"/>
        </w:rPr>
        <w:t>A Theological Introduction to the Book of Psalms: The Psalms as Torah</w:t>
      </w:r>
      <w:r>
        <w:rPr>
          <w:rFonts w:ascii="Times New Roman" w:hAnsi="Times New Roman" w:cs="Times New Roman"/>
          <w:sz w:val="22"/>
          <w:szCs w:val="22"/>
        </w:rPr>
        <w:t xml:space="preserve"> (Nashville: Abingdon, 1993), 113–140.</w:t>
      </w:r>
    </w:p>
    <w:p w14:paraId="359743D7" w14:textId="77777777" w:rsidR="002A63A2" w:rsidRPr="00850CC8" w:rsidRDefault="002A63A2" w:rsidP="00850CC8">
      <w:pPr>
        <w:spacing w:after="120" w:line="276" w:lineRule="auto"/>
        <w:ind w:left="360" w:hanging="360"/>
        <w:rPr>
          <w:rFonts w:ascii="Times New Roman" w:hAnsi="Times New Roman" w:cs="Times New Roman"/>
          <w:sz w:val="22"/>
          <w:szCs w:val="22"/>
        </w:rPr>
      </w:pPr>
      <w:r>
        <w:rPr>
          <w:rFonts w:ascii="Times New Roman" w:hAnsi="Times New Roman" w:cs="Times New Roman"/>
          <w:b/>
          <w:bCs/>
          <w:sz w:val="22"/>
          <w:szCs w:val="22"/>
        </w:rPr>
        <w:t>2. </w:t>
      </w:r>
      <w:r>
        <w:rPr>
          <w:rFonts w:ascii="Times New Roman" w:hAnsi="Times New Roman" w:cs="Times New Roman"/>
          <w:sz w:val="22"/>
          <w:szCs w:val="22"/>
        </w:rPr>
        <w:t xml:space="preserve">John W. Wenham identifies approximately fifty psalms with imprecatory elements in </w:t>
      </w:r>
      <w:r>
        <w:rPr>
          <w:rFonts w:ascii="Times New Roman" w:hAnsi="Times New Roman" w:cs="Times New Roman"/>
          <w:i/>
          <w:iCs/>
          <w:sz w:val="22"/>
          <w:szCs w:val="22"/>
        </w:rPr>
        <w:t>The Goodness of God</w:t>
      </w:r>
      <w:r>
        <w:rPr>
          <w:rFonts w:ascii="Times New Roman" w:hAnsi="Times New Roman" w:cs="Times New Roman"/>
          <w:sz w:val="22"/>
          <w:szCs w:val="22"/>
        </w:rPr>
        <w:t xml:space="preserve"> (Downers Grove: InterVarsity Press, 1974), 136–137. John Day counts eighteen primarily imprecatory psalms in </w:t>
      </w:r>
      <w:r>
        <w:rPr>
          <w:rFonts w:ascii="Times New Roman" w:hAnsi="Times New Roman" w:cs="Times New Roman"/>
          <w:i/>
          <w:iCs/>
          <w:sz w:val="22"/>
          <w:szCs w:val="22"/>
        </w:rPr>
        <w:t>Crying for Justice: What the Psalms Teach Us About Mercy and Vengeance in an Age of Terrorism</w:t>
      </w:r>
      <w:r>
        <w:rPr>
          <w:rFonts w:ascii="Times New Roman" w:hAnsi="Times New Roman" w:cs="Times New Roman"/>
          <w:sz w:val="22"/>
          <w:szCs w:val="22"/>
        </w:rPr>
        <w:t xml:space="preserve"> (Grand Rapids: Kregel, 2005), 21–23. The variation in counting reflects real </w:t>
        <w:lastRenderedPageBreak/>
        <w:t>disagreement about how much imprecatory material is needed before a psalm is classified as primarily imprecatory rather than incidentally so.</w:t>
      </w:r>
    </w:p>
    <w:p w14:paraId="0712553E" w14:textId="77777777" w:rsidR="002A63A2" w:rsidRPr="00850CC8" w:rsidRDefault="002A63A2" w:rsidP="00850CC8">
      <w:pPr>
        <w:spacing w:after="120" w:line="276" w:lineRule="auto"/>
        <w:ind w:left="360" w:hanging="360"/>
        <w:rPr>
          <w:rFonts w:ascii="Times New Roman" w:hAnsi="Times New Roman" w:cs="Times New Roman"/>
          <w:sz w:val="22"/>
          <w:szCs w:val="22"/>
        </w:rPr>
      </w:pPr>
      <w:r>
        <w:rPr>
          <w:rFonts w:ascii="Times New Roman" w:hAnsi="Times New Roman" w:cs="Times New Roman"/>
          <w:b/>
          <w:bCs/>
          <w:sz w:val="22"/>
          <w:szCs w:val="22"/>
        </w:rPr>
        <w:t>3. </w:t>
      </w:r>
      <w:r>
        <w:rPr>
          <w:rFonts w:ascii="Times New Roman" w:hAnsi="Times New Roman" w:cs="Times New Roman"/>
          <w:sz w:val="22"/>
          <w:szCs w:val="22"/>
        </w:rPr>
        <w:t xml:space="preserve">Walter Brueggemann, </w:t>
      </w:r>
      <w:r>
        <w:rPr>
          <w:rFonts w:ascii="Times New Roman" w:hAnsi="Times New Roman" w:cs="Times New Roman"/>
          <w:i/>
          <w:iCs/>
          <w:sz w:val="22"/>
          <w:szCs w:val="22"/>
        </w:rPr>
        <w:t>The Message of the Psalms: A Theological Commentary</w:t>
      </w:r>
      <w:r>
        <w:rPr>
          <w:rFonts w:ascii="Times New Roman" w:hAnsi="Times New Roman" w:cs="Times New Roman"/>
          <w:sz w:val="22"/>
          <w:szCs w:val="22"/>
        </w:rPr>
        <w:t xml:space="preserve"> (Minneapolis: Augsburg, 1984), 52. Brueggemann’s broader argument about the function of lament in the Psalter is developed more fully in his </w:t>
      </w:r>
      <w:r>
        <w:rPr>
          <w:rFonts w:ascii="Times New Roman" w:hAnsi="Times New Roman" w:cs="Times New Roman"/>
          <w:i/>
          <w:iCs/>
          <w:sz w:val="22"/>
          <w:szCs w:val="22"/>
        </w:rPr>
        <w:t>Spirituality of the Psalms</w:t>
      </w:r>
      <w:r>
        <w:rPr>
          <w:rFonts w:ascii="Times New Roman" w:hAnsi="Times New Roman" w:cs="Times New Roman"/>
          <w:sz w:val="22"/>
          <w:szCs w:val="22"/>
        </w:rPr>
        <w:t xml:space="preserve"> (Minneapolis: Fortress, 2002) and in his foundational essay “The Costly Loss of Lament,” </w:t>
      </w:r>
      <w:r>
        <w:rPr>
          <w:rFonts w:ascii="Times New Roman" w:hAnsi="Times New Roman" w:cs="Times New Roman"/>
          <w:i/>
          <w:iCs/>
          <w:sz w:val="22"/>
          <w:szCs w:val="22"/>
        </w:rPr>
        <w:t>Journal for the Study of the Old Testament</w:t>
      </w:r>
      <w:r>
        <w:rPr>
          <w:rFonts w:ascii="Times New Roman" w:hAnsi="Times New Roman" w:cs="Times New Roman"/>
          <w:sz w:val="22"/>
          <w:szCs w:val="22"/>
        </w:rPr>
        <w:t xml:space="preserve"> 36 (1986): 57–71, which argues that the suppression of lament from contemporary worship represents a significant spiritual and social loss.</w:t>
      </w:r>
    </w:p>
    <w:p w14:paraId="655CDF99" w14:textId="77777777" w:rsidR="002A63A2" w:rsidRPr="00850CC8" w:rsidRDefault="002A63A2" w:rsidP="00850CC8">
      <w:pPr>
        <w:spacing w:after="120" w:line="276" w:lineRule="auto"/>
        <w:ind w:left="360" w:hanging="360"/>
        <w:rPr>
          <w:rFonts w:ascii="Times New Roman" w:hAnsi="Times New Roman" w:cs="Times New Roman"/>
          <w:sz w:val="22"/>
          <w:szCs w:val="22"/>
        </w:rPr>
      </w:pPr>
      <w:r>
        <w:rPr>
          <w:rFonts w:ascii="Times New Roman" w:hAnsi="Times New Roman" w:cs="Times New Roman"/>
          <w:b/>
          <w:bCs/>
          <w:sz w:val="22"/>
          <w:szCs w:val="22"/>
        </w:rPr>
        <w:t>4. </w:t>
      </w:r>
      <w:r>
        <w:rPr>
          <w:rFonts w:ascii="Times New Roman" w:hAnsi="Times New Roman" w:cs="Times New Roman"/>
          <w:sz w:val="22"/>
          <w:szCs w:val="22"/>
        </w:rPr>
        <w:t xml:space="preserve">Erich Zenger, </w:t>
      </w:r>
      <w:r>
        <w:rPr>
          <w:rFonts w:ascii="Times New Roman" w:hAnsi="Times New Roman" w:cs="Times New Roman"/>
          <w:i/>
          <w:iCs/>
          <w:sz w:val="22"/>
          <w:szCs w:val="22"/>
        </w:rPr>
        <w:t>A God of Vengeance? Understanding the Psalms of Divine Wrath</w:t>
      </w:r>
      <w:r>
        <w:rPr>
          <w:rFonts w:ascii="Times New Roman" w:hAnsi="Times New Roman" w:cs="Times New Roman"/>
          <w:sz w:val="22"/>
          <w:szCs w:val="22"/>
        </w:rPr>
        <w:t>, trans. Linda M. Maloney (Louisville: Westminster John Knox, 1996), 64–82. Zenger’s argument that these psalms function as a prophylaxis against vigilantism is developed in the context of his broader claim that the psalms of vengeance actually serve peace by directing rage away from violent action. His work represents the most sustained recent defense of the imprecatory psalms’ place in Christian worship.</w:t>
      </w:r>
    </w:p>
    <w:p w14:paraId="36FAD3A3" w14:textId="77777777" w:rsidR="002A63A2" w:rsidRPr="00850CC8" w:rsidRDefault="002A63A2" w:rsidP="00850CC8">
      <w:pPr>
        <w:spacing w:after="120" w:line="276" w:lineRule="auto"/>
        <w:ind w:left="360" w:hanging="360"/>
        <w:rPr>
          <w:rFonts w:ascii="Times New Roman" w:hAnsi="Times New Roman" w:cs="Times New Roman"/>
          <w:sz w:val="22"/>
          <w:szCs w:val="22"/>
        </w:rPr>
      </w:pPr>
      <w:r>
        <w:rPr>
          <w:rFonts w:ascii="Times New Roman" w:hAnsi="Times New Roman" w:cs="Times New Roman"/>
          <w:b/>
          <w:bCs/>
          <w:sz w:val="22"/>
          <w:szCs w:val="22"/>
        </w:rPr>
        <w:t>5. </w:t>
      </w:r>
      <w:r>
        <w:rPr>
          <w:rFonts w:ascii="Times New Roman" w:hAnsi="Times New Roman" w:cs="Times New Roman"/>
          <w:sz w:val="22"/>
          <w:szCs w:val="22"/>
        </w:rPr>
        <w:t xml:space="preserve">Nancy deClaissé-Walford, </w:t>
      </w:r>
      <w:r>
        <w:rPr>
          <w:rFonts w:ascii="Times New Roman" w:hAnsi="Times New Roman" w:cs="Times New Roman"/>
          <w:i/>
          <w:iCs/>
          <w:sz w:val="22"/>
          <w:szCs w:val="22"/>
        </w:rPr>
        <w:t>Introduction to the Psalms: A Song from Ancient Israel</w:t>
      </w:r>
      <w:r>
        <w:rPr>
          <w:rFonts w:ascii="Times New Roman" w:hAnsi="Times New Roman" w:cs="Times New Roman"/>
          <w:sz w:val="22"/>
          <w:szCs w:val="22"/>
        </w:rPr>
        <w:t xml:space="preserve"> (St. Louis: Chalice Press, 2004), 97–105. Her attention to the communal and liturgical function of these psalms within oppressed communities offers an important corrective to purely individualistic readings. See also her work in the </w:t>
      </w:r>
      <w:r>
        <w:rPr>
          <w:rFonts w:ascii="Times New Roman" w:hAnsi="Times New Roman" w:cs="Times New Roman"/>
          <w:i/>
          <w:iCs/>
          <w:sz w:val="22"/>
          <w:szCs w:val="22"/>
        </w:rPr>
        <w:t>New International Commentary on the Old Testament: Psalms 90–150</w:t>
      </w:r>
      <w:r>
        <w:rPr>
          <w:rFonts w:ascii="Times New Roman" w:hAnsi="Times New Roman" w:cs="Times New Roman"/>
          <w:sz w:val="22"/>
          <w:szCs w:val="22"/>
        </w:rPr>
        <w:t xml:space="preserve"> (Grand Rapids: Eerdmans, 2014).</w:t>
      </w:r>
    </w:p>
    <w:p w14:paraId="4F95F300" w14:textId="77777777" w:rsidR="002A63A2" w:rsidRPr="00850CC8" w:rsidRDefault="002A63A2" w:rsidP="00850CC8">
      <w:pPr>
        <w:spacing w:after="120" w:line="276" w:lineRule="auto"/>
        <w:ind w:left="360" w:hanging="360"/>
        <w:rPr>
          <w:rFonts w:ascii="Times New Roman" w:hAnsi="Times New Roman" w:cs="Times New Roman"/>
          <w:sz w:val="22"/>
          <w:szCs w:val="22"/>
        </w:rPr>
      </w:pPr>
      <w:r>
        <w:rPr>
          <w:rFonts w:ascii="Times New Roman" w:hAnsi="Times New Roman" w:cs="Times New Roman"/>
          <w:b/>
          <w:bCs/>
          <w:sz w:val="22"/>
          <w:szCs w:val="22"/>
        </w:rPr>
        <w:t>6. </w:t>
      </w:r>
      <w:r>
        <w:rPr>
          <w:rFonts w:ascii="Times New Roman" w:hAnsi="Times New Roman" w:cs="Times New Roman"/>
          <w:sz w:val="22"/>
          <w:szCs w:val="22"/>
        </w:rPr>
        <w:t xml:space="preserve">James B. Pritchard, ed., </w:t>
      </w:r>
      <w:r>
        <w:rPr>
          <w:rFonts w:ascii="Times New Roman" w:hAnsi="Times New Roman" w:cs="Times New Roman"/>
          <w:i/>
          <w:iCs/>
          <w:sz w:val="22"/>
          <w:szCs w:val="22"/>
        </w:rPr>
        <w:t>Ancient Near Eastern Texts Relating to the Old Testament</w:t>
      </w:r>
      <w:r>
        <w:rPr>
          <w:rFonts w:ascii="Times New Roman" w:hAnsi="Times New Roman" w:cs="Times New Roman"/>
          <w:sz w:val="22"/>
          <w:szCs w:val="22"/>
        </w:rPr>
        <w:t xml:space="preserve">, 3rd ed. (Princeton: Princeton University Press, 1969), 533–541, includes the Esarhaddon succession treaty with its extensive curse sections. For a comprehensive study of how treaty curse language informs the Old Testament’s covenant texts and the Psalter specifically, see Delbert R. Hillers, </w:t>
      </w:r>
      <w:r>
        <w:rPr>
          <w:rFonts w:ascii="Times New Roman" w:hAnsi="Times New Roman" w:cs="Times New Roman"/>
          <w:i/>
          <w:iCs/>
          <w:sz w:val="22"/>
          <w:szCs w:val="22"/>
        </w:rPr>
        <w:t>Treaty-Curses and the Old Testament Prophets</w:t>
      </w:r>
      <w:r>
        <w:rPr>
          <w:rFonts w:ascii="Times New Roman" w:hAnsi="Times New Roman" w:cs="Times New Roman"/>
          <w:sz w:val="22"/>
          <w:szCs w:val="22"/>
        </w:rPr>
        <w:t xml:space="preserve"> (Rome: Pontifical Biblical Institute, 1964).</w:t>
      </w:r>
    </w:p>
    <w:p w14:paraId="46981839" w14:textId="77777777" w:rsidR="002A63A2" w:rsidRPr="00850CC8" w:rsidRDefault="002A63A2" w:rsidP="00850CC8">
      <w:pPr>
        <w:spacing w:after="120" w:line="276" w:lineRule="auto"/>
        <w:ind w:left="360" w:hanging="360"/>
        <w:rPr>
          <w:rFonts w:ascii="Times New Roman" w:hAnsi="Times New Roman" w:cs="Times New Roman"/>
          <w:sz w:val="22"/>
          <w:szCs w:val="22"/>
        </w:rPr>
      </w:pPr>
      <w:r>
        <w:rPr>
          <w:rFonts w:ascii="Times New Roman" w:hAnsi="Times New Roman" w:cs="Times New Roman"/>
          <w:b/>
          <w:bCs/>
          <w:sz w:val="22"/>
          <w:szCs w:val="22"/>
        </w:rPr>
        <w:t>7. </w:t>
      </w:r>
      <w:r>
        <w:rPr>
          <w:rFonts w:ascii="Times New Roman" w:hAnsi="Times New Roman" w:cs="Times New Roman"/>
          <w:sz w:val="22"/>
          <w:szCs w:val="22"/>
        </w:rPr>
        <w:t xml:space="preserve">Tremper Longman III and Daniel G. Reid, </w:t>
      </w:r>
      <w:r>
        <w:rPr>
          <w:rFonts w:ascii="Times New Roman" w:hAnsi="Times New Roman" w:cs="Times New Roman"/>
          <w:i/>
          <w:iCs/>
          <w:sz w:val="22"/>
          <w:szCs w:val="22"/>
        </w:rPr>
        <w:t>God Is a Warrior</w:t>
      </w:r>
      <w:r>
        <w:rPr>
          <w:rFonts w:ascii="Times New Roman" w:hAnsi="Times New Roman" w:cs="Times New Roman"/>
          <w:sz w:val="22"/>
          <w:szCs w:val="22"/>
        </w:rPr>
        <w:t xml:space="preserve">, Studies in Old Testament Biblical Theology (Grand Rapids: Zondervan, 1995), 169–185. The authors demonstrate how imprecatory language functions within Israel’s covenant relationship and warfare theology, showing both continuity with and distinctiveness from ancient Near Eastern patterns. See also John H. Walton, </w:t>
      </w:r>
      <w:r>
        <w:rPr>
          <w:rFonts w:ascii="Times New Roman" w:hAnsi="Times New Roman" w:cs="Times New Roman"/>
          <w:i/>
          <w:iCs/>
          <w:sz w:val="22"/>
          <w:szCs w:val="22"/>
        </w:rPr>
        <w:t>Ancient Near Eastern Thought and the Old Testament: Introducing the Conceptual World of the Hebrew Bible</w:t>
      </w:r>
      <w:r>
        <w:rPr>
          <w:rFonts w:ascii="Times New Roman" w:hAnsi="Times New Roman" w:cs="Times New Roman"/>
          <w:sz w:val="22"/>
          <w:szCs w:val="22"/>
        </w:rPr>
        <w:t>, 2nd ed. (Grand Rapids: Baker Academic, 2018), 73–95, for the broader cultural context.</w:t>
      </w:r>
    </w:p>
    <w:p w14:paraId="53E618A6" w14:textId="77777777" w:rsidR="002A63A2" w:rsidRPr="00850CC8" w:rsidRDefault="002A63A2" w:rsidP="00850CC8">
      <w:pPr>
        <w:spacing w:after="120" w:line="276" w:lineRule="auto"/>
        <w:ind w:left="360" w:hanging="360"/>
        <w:rPr>
          <w:rFonts w:ascii="Times New Roman" w:hAnsi="Times New Roman" w:cs="Times New Roman"/>
          <w:sz w:val="22"/>
          <w:szCs w:val="22"/>
        </w:rPr>
      </w:pPr>
      <w:r>
        <w:rPr>
          <w:rFonts w:ascii="Times New Roman" w:hAnsi="Times New Roman" w:cs="Times New Roman"/>
          <w:b/>
          <w:bCs/>
          <w:sz w:val="22"/>
          <w:szCs w:val="22"/>
        </w:rPr>
        <w:t>8. </w:t>
      </w:r>
      <w:r>
        <w:rPr>
          <w:rFonts w:ascii="Times New Roman" w:hAnsi="Times New Roman" w:cs="Times New Roman"/>
          <w:sz w:val="22"/>
          <w:szCs w:val="22"/>
        </w:rPr>
        <w:t xml:space="preserve">Derek Kidner, </w:t>
      </w:r>
      <w:r>
        <w:rPr>
          <w:rFonts w:ascii="Times New Roman" w:hAnsi="Times New Roman" w:cs="Times New Roman"/>
          <w:i/>
          <w:iCs/>
          <w:sz w:val="22"/>
          <w:szCs w:val="22"/>
        </w:rPr>
        <w:t>Psalms 73–150</w:t>
      </w:r>
      <w:r>
        <w:rPr>
          <w:rFonts w:ascii="Times New Roman" w:hAnsi="Times New Roman" w:cs="Times New Roman"/>
          <w:sz w:val="22"/>
          <w:szCs w:val="22"/>
        </w:rPr>
        <w:t>, Tyndale Old Testament Commentaries (Downers Grove: IVP Academic, 1975), 461–463. Kidner notes that Psalm 137:9 echoes Babylonian practice against Jerusalem, making it a cry for lex talionis rather than unprecedented cruelty. His observation that the psalm expresses what victims would feel rather than prescribing what Israel should do is exegetically important and pastorally useful.</w:t>
      </w:r>
    </w:p>
    <w:p w14:paraId="3D4C7F42" w14:textId="77777777" w:rsidR="002A63A2" w:rsidRPr="00850CC8" w:rsidRDefault="002A63A2" w:rsidP="00850CC8">
      <w:pPr>
        <w:spacing w:after="120" w:line="276" w:lineRule="auto"/>
        <w:ind w:left="360" w:hanging="360"/>
        <w:rPr>
          <w:rFonts w:ascii="Times New Roman" w:hAnsi="Times New Roman" w:cs="Times New Roman"/>
          <w:sz w:val="22"/>
          <w:szCs w:val="22"/>
        </w:rPr>
      </w:pPr>
      <w:r>
        <w:rPr>
          <w:rFonts w:ascii="Times New Roman" w:hAnsi="Times New Roman" w:cs="Times New Roman"/>
          <w:b/>
          <w:bCs/>
          <w:sz w:val="22"/>
          <w:szCs w:val="22"/>
        </w:rPr>
        <w:t>9. </w:t>
      </w:r>
      <w:r>
        <w:rPr>
          <w:rFonts w:ascii="Times New Roman" w:hAnsi="Times New Roman" w:cs="Times New Roman"/>
          <w:sz w:val="22"/>
          <w:szCs w:val="22"/>
        </w:rPr>
        <w:t xml:space="preserve">Richard Bauckham, </w:t>
      </w:r>
      <w:r>
        <w:rPr>
          <w:rFonts w:ascii="Times New Roman" w:hAnsi="Times New Roman" w:cs="Times New Roman"/>
          <w:i/>
          <w:iCs/>
          <w:sz w:val="22"/>
          <w:szCs w:val="22"/>
        </w:rPr>
        <w:t>The Theology of the Book of Revelation</w:t>
      </w:r>
      <w:r>
        <w:rPr>
          <w:rFonts w:ascii="Times New Roman" w:hAnsi="Times New Roman" w:cs="Times New Roman"/>
          <w:sz w:val="22"/>
          <w:szCs w:val="22"/>
        </w:rPr>
        <w:t xml:space="preserve">, New Testament Theology (Cambridge: Cambridge University Press, 1993), 86–91. Bauckham demonstrates how Revelation’s martyrs’ cry (6:9–10) represents legitimate imprecatory prayer within New Testament theology, drawing on the Old Testament tradition while situating it within the context of Christ’s victory and the church’s patient endurance. See also G. K. Beale, </w:t>
      </w:r>
      <w:r>
        <w:rPr>
          <w:rFonts w:ascii="Times New Roman" w:hAnsi="Times New Roman" w:cs="Times New Roman"/>
          <w:i/>
          <w:iCs/>
          <w:sz w:val="22"/>
          <w:szCs w:val="22"/>
        </w:rPr>
        <w:t>The Book of Revelation: A Commentary on the Greek Text</w:t>
      </w:r>
      <w:r>
        <w:rPr>
          <w:rFonts w:ascii="Times New Roman" w:hAnsi="Times New Roman" w:cs="Times New Roman"/>
          <w:sz w:val="22"/>
          <w:szCs w:val="22"/>
        </w:rPr>
        <w:t>, New International Greek Testament Commentary (Grand Rapids: Eerdmans, 1999), 390–398.</w:t>
      </w:r>
    </w:p>
    <w:p w14:paraId="3ABAD07B" w14:textId="77777777" w:rsidR="002A63A2" w:rsidRPr="00850CC8" w:rsidRDefault="002A63A2" w:rsidP="00850CC8">
      <w:pPr>
        <w:spacing w:after="120" w:line="276" w:lineRule="auto"/>
        <w:ind w:left="360" w:hanging="360"/>
        <w:rPr>
          <w:rFonts w:ascii="Times New Roman" w:hAnsi="Times New Roman" w:cs="Times New Roman"/>
          <w:sz w:val="22"/>
          <w:szCs w:val="22"/>
        </w:rPr>
      </w:pPr>
      <w:r>
        <w:rPr>
          <w:rFonts w:ascii="Times New Roman" w:hAnsi="Times New Roman" w:cs="Times New Roman"/>
          <w:b/>
          <w:bCs/>
          <w:sz w:val="22"/>
          <w:szCs w:val="22"/>
        </w:rPr>
        <w:lastRenderedPageBreak/>
        <w:t>10. </w:t>
      </w:r>
      <w:r>
        <w:rPr>
          <w:rFonts w:ascii="Times New Roman" w:hAnsi="Times New Roman" w:cs="Times New Roman"/>
          <w:sz w:val="22"/>
          <w:szCs w:val="22"/>
        </w:rPr>
        <w:t xml:space="preserve">Craig A. Evans, “Praise and Prophecy in the Psalter and in the New Testament,” in </w:t>
      </w:r>
      <w:r>
        <w:rPr>
          <w:rFonts w:ascii="Times New Roman" w:hAnsi="Times New Roman" w:cs="Times New Roman"/>
          <w:i/>
          <w:iCs/>
          <w:sz w:val="22"/>
          <w:szCs w:val="22"/>
        </w:rPr>
        <w:t>The Book of Psalms: Composition and Reception</w:t>
      </w:r>
      <w:r>
        <w:rPr>
          <w:rFonts w:ascii="Times New Roman" w:hAnsi="Times New Roman" w:cs="Times New Roman"/>
          <w:sz w:val="22"/>
          <w:szCs w:val="22"/>
        </w:rPr>
        <w:t>, ed. Peter W. Flint and Patrick D. Miller (Leiden: Brill, 2005), 551–579. Evans explores how Jesus transforms the imprecatory psalms without abolishing them, showing that the fulfillment of these prayers is located in the eschatological judgment at Christ’s return rather than in any present human action.</w:t>
      </w:r>
    </w:p>
    <w:p w14:paraId="2BDCDFCB" w14:textId="77777777" w:rsidR="002A63A2" w:rsidRPr="00850CC8" w:rsidRDefault="002A63A2" w:rsidP="00850CC8">
      <w:pPr>
        <w:spacing w:after="120" w:line="276" w:lineRule="auto"/>
        <w:ind w:left="360" w:hanging="360"/>
        <w:rPr>
          <w:rFonts w:ascii="Times New Roman" w:hAnsi="Times New Roman" w:cs="Times New Roman"/>
          <w:sz w:val="22"/>
          <w:szCs w:val="22"/>
        </w:rPr>
      </w:pPr>
      <w:r>
        <w:rPr>
          <w:rFonts w:ascii="Times New Roman" w:hAnsi="Times New Roman" w:cs="Times New Roman"/>
          <w:b/>
          <w:bCs/>
          <w:sz w:val="22"/>
          <w:szCs w:val="22"/>
        </w:rPr>
        <w:t>11. </w:t>
      </w:r>
      <w:r>
        <w:rPr>
          <w:rFonts w:ascii="Times New Roman" w:hAnsi="Times New Roman" w:cs="Times New Roman"/>
          <w:sz w:val="22"/>
          <w:szCs w:val="22"/>
        </w:rPr>
        <w:t xml:space="preserve">Contemporary application guidelines draw from multiple sources, particularly Day, </w:t>
      </w:r>
      <w:r>
        <w:rPr>
          <w:rFonts w:ascii="Times New Roman" w:hAnsi="Times New Roman" w:cs="Times New Roman"/>
          <w:i/>
          <w:iCs/>
          <w:sz w:val="22"/>
          <w:szCs w:val="22"/>
        </w:rPr>
        <w:t>Crying for Justice</w:t>
      </w:r>
      <w:r>
        <w:rPr>
          <w:rFonts w:ascii="Times New Roman" w:hAnsi="Times New Roman" w:cs="Times New Roman"/>
          <w:sz w:val="22"/>
          <w:szCs w:val="22"/>
        </w:rPr>
        <w:t xml:space="preserve">, and Willem VanGemeren, </w:t>
      </w:r>
      <w:r>
        <w:rPr>
          <w:rFonts w:ascii="Times New Roman" w:hAnsi="Times New Roman" w:cs="Times New Roman"/>
          <w:i/>
          <w:iCs/>
          <w:sz w:val="22"/>
          <w:szCs w:val="22"/>
        </w:rPr>
        <w:t>Psalms</w:t>
      </w:r>
      <w:r>
        <w:rPr>
          <w:rFonts w:ascii="Times New Roman" w:hAnsi="Times New Roman" w:cs="Times New Roman"/>
          <w:sz w:val="22"/>
          <w:szCs w:val="22"/>
        </w:rPr>
        <w:t xml:space="preserve">, vol. 5 of </w:t>
      </w:r>
      <w:r>
        <w:rPr>
          <w:rFonts w:ascii="Times New Roman" w:hAnsi="Times New Roman" w:cs="Times New Roman"/>
          <w:i/>
          <w:iCs/>
          <w:sz w:val="22"/>
          <w:szCs w:val="22"/>
        </w:rPr>
        <w:t>The Expositor’s Bible Commentary</w:t>
      </w:r>
      <w:r>
        <w:rPr>
          <w:rFonts w:ascii="Times New Roman" w:hAnsi="Times New Roman" w:cs="Times New Roman"/>
          <w:sz w:val="22"/>
          <w:szCs w:val="22"/>
        </w:rPr>
        <w:t xml:space="preserve">, ed. Tremper Longman III and David E. Garland (Grand Rapids: Zondervan, 2008). The emphasis on corporate rather than individual use reflects the liturgical wisdom developed across church history and is supported by the covenant-communal context from which these psalms emerged. For a practical guide to incorporating the Psalter (including its imprecatory portions) into corporate worship, see Gordon Wenham, </w:t>
      </w:r>
      <w:r>
        <w:rPr>
          <w:rFonts w:ascii="Times New Roman" w:hAnsi="Times New Roman" w:cs="Times New Roman"/>
          <w:i/>
          <w:iCs/>
          <w:sz w:val="22"/>
          <w:szCs w:val="22"/>
        </w:rPr>
        <w:t>Psalms as Torah: Reading Biblical Song Ethically</w:t>
      </w:r>
      <w:r>
        <w:rPr>
          <w:rFonts w:ascii="Times New Roman" w:hAnsi="Times New Roman" w:cs="Times New Roman"/>
          <w:sz w:val="22"/>
          <w:szCs w:val="22"/>
        </w:rPr>
        <w:t xml:space="preserve"> (Grand Rapids: Baker Academic, 2012), 167–196.</w:t>
      </w:r>
    </w:p>
    <w:p w14:paraId="74A7EE3B" w14:textId="2A9A7087" w:rsidR="002A63A2" w:rsidRPr="00850CC8" w:rsidRDefault="002A63A2" w:rsidP="00850CC8">
      <w:pPr>
        <w:spacing w:line="276" w:lineRule="auto"/>
        <w:rPr>
          <w:rFonts w:ascii="Times New Roman" w:hAnsi="Times New Roman" w:cs="Times New Roman"/>
          <w:sz w:val="22"/>
          <w:szCs w:val="22"/>
        </w:rPr>
      </w:pPr>
      <w:r>
        <w:rPr>
          <w:rFonts w:ascii="Times New Roman" w:hAnsi="Times New Roman" w:cs="Times New Roman"/>
          <w:sz w:val="22"/>
          <w:szCs w:val="22"/>
        </w:rPr>
        <w:br w:type="page"/>
      </w:r>
    </w:p>
    <w:p w14:paraId="5333AB5C" w14:textId="77777777" w:rsidR="002A63A2" w:rsidRPr="00850CC8" w:rsidRDefault="002A63A2" w:rsidP="00850CC8">
      <w:pPr>
        <w:pStyle w:val="Heading1"/>
        <w:spacing w:after="120" w:line="276" w:lineRule="auto"/>
        <w:jc w:val="center"/>
        <w:rPr>
          <w:rFonts w:ascii="Times New Roman" w:hAnsi="Times New Roman" w:cs="Times New Roman"/>
          <w:sz w:val="22"/>
          <w:szCs w:val="22"/>
        </w:rPr>
      </w:pPr>
      <w:bookmarkStart w:id="42" w:name="_Toc228335848"/>
      <w:r>
        <w:rPr>
          <w:rFonts w:ascii="Times New Roman" w:hAnsi="Times New Roman" w:cs="Times New Roman"/>
          <w:sz w:val="22"/>
          <w:szCs w:val="22"/>
        </w:rPr>
        <w:lastRenderedPageBreak/>
        <w:t>Chapter Eleven</w:t>
      </w:r>
      <w:bookmarkEnd w:id="42"/>
    </w:p>
    <w:p w14:paraId="0041CBA2" w14:textId="77777777" w:rsidR="002A63A2" w:rsidRPr="00850CC8" w:rsidRDefault="002A63A2" w:rsidP="00850CC8">
      <w:pPr>
        <w:pStyle w:val="Heading1"/>
        <w:spacing w:after="320" w:line="276" w:lineRule="auto"/>
        <w:jc w:val="center"/>
        <w:rPr>
          <w:rFonts w:ascii="Times New Roman" w:hAnsi="Times New Roman" w:cs="Times New Roman"/>
          <w:sz w:val="22"/>
          <w:szCs w:val="22"/>
        </w:rPr>
      </w:pPr>
      <w:bookmarkStart w:id="43" w:name="_Toc228335849"/>
      <w:r>
        <w:rPr>
          <w:rFonts w:ascii="Times New Roman" w:hAnsi="Times New Roman" w:cs="Times New Roman"/>
          <w:sz w:val="22"/>
          <w:szCs w:val="22"/>
        </w:rPr>
        <w:t>The Framework Under Pressure</w:t>
      </w:r>
      <w:bookmarkEnd w:id="43"/>
    </w:p>
    <w:p w14:paraId="772DA5D8" w14:textId="77777777" w:rsidR="002A63A2" w:rsidRPr="00850CC8" w:rsidRDefault="002A63A2"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An argument that cannot survive serious objection is not worth the effort it took to construct. This is true of ethical arguments in particular, because the stakes are not merely intellectual. A moral framework that collapses under pressure is not just an interesting failure of philosophy; it is a failure to provide what people actually need when they face the kind of situations that press on moral life with real weight. The preceding ten chapters have built an argument, and the argument deserves to be pressed.</w:t>
      </w:r>
    </w:p>
    <w:p w14:paraId="2D403ED1" w14:textId="77777777" w:rsidR="002A63A2" w:rsidRPr="00850CC8" w:rsidRDefault="002A63A2"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What follows is not a catalogue of every possible objection to the relational framework. It is an engagement with the five that seem, to me, to have the most serious force: the grounding objection, the favoritism objection, the hermeneutical objection, the adjudication objection, and the residue objection. They are arranged roughly in order of depth, moving from methodological concerns about the framework’s foundations to substantive concerns about what the framework can and cannot honestly claim. Readers who have followed the argument this far will recognize that several of these objections were anticipated earlier; they are developed more fully here so that the responses can be stated clearly and the limits of those responses acknowledged honestly.</w:t>
      </w:r>
    </w:p>
    <w:p w14:paraId="14B696A5" w14:textId="77777777" w:rsidR="002A63A2" w:rsidRPr="00850CC8" w:rsidRDefault="002A63A2"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One preliminary observation is worth making before the objections themselves. The act of engaging objections seriously is not a concession to skepticism. It is a requirement of the intellectual character that the framework itself demands. If ethics is relational, reflective, situational, and personal, then the intellectual virtues, careful attention, honesty about what one does not know, willingness to be corrected by another’s perception, are themselves expressions of the moral life rather than preliminary conditions for it. A framework that refuses to be tested is already in conflict with its own deepest commitments.</w:t>
      </w:r>
    </w:p>
    <w:p w14:paraId="3BBDECB1" w14:textId="77777777" w:rsidR="002A63A2" w:rsidRPr="00850CC8" w:rsidRDefault="002A63A2" w:rsidP="00850CC8">
      <w:pPr>
        <w:pStyle w:val="Heading2"/>
        <w:spacing w:line="276" w:lineRule="auto"/>
        <w:rPr>
          <w:rFonts w:ascii="Times New Roman" w:hAnsi="Times New Roman" w:cs="Times New Roman"/>
          <w:sz w:val="22"/>
          <w:szCs w:val="22"/>
        </w:rPr>
      </w:pPr>
      <w:bookmarkStart w:id="44" w:name="_Toc228335850"/>
      <w:r>
        <w:rPr>
          <w:rFonts w:ascii="Times New Roman" w:hAnsi="Times New Roman" w:cs="Times New Roman"/>
          <w:sz w:val="22"/>
          <w:szCs w:val="22"/>
        </w:rPr>
        <w:t>The Grounding Objection: Assuming What Needs to Be Proved</w:t>
      </w:r>
      <w:bookmarkEnd w:id="44"/>
    </w:p>
    <w:p w14:paraId="002E1759" w14:textId="77777777" w:rsidR="002A63A2" w:rsidRPr="00850CC8" w:rsidRDefault="002A63A2"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The most fundamental challenge to the argument of this book is methodological. The relational framework grounds moral obligation in the character of the triune God, and the character of the triune God in the perichoretic self-giving of Father, Son, and Holy Spirit. But this move, the objection runs, simply relocates the grounding problem rather than solving it. Trinitarian theology is itself a contested set of claims. To say that moral obligation is grounded in the character of God is to help only those who already accept both that God exists and that the Christian account of God’s inner life is correct. For everyone else, including the large majority of the world’s population who hold different or no theological commitments, the framework offers nothing.</w:t>
      </w:r>
    </w:p>
    <w:p w14:paraId="03426B08" w14:textId="77777777" w:rsidR="002A63A2" w:rsidRPr="00850CC8" w:rsidRDefault="002A63A2"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This objection deserves respect. It identifies a real limit of the argument, and that limit should be stated clearly. The relational theistic framework developed here does not provide a demonstration of God’s existence that is accessible to all rational agents regardless of their prior commitments. It is not that kind of argument, and it does not claim to be. What it does claim is something more modest and, I want to suggest, more honest about what ethical theory can actually deliver.</w:t>
      </w:r>
    </w:p>
    <w:p w14:paraId="2610C024" w14:textId="77777777" w:rsidR="002A63A2" w:rsidRPr="00850CC8" w:rsidRDefault="002A63A2"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 xml:space="preserve">Every ethical theory faces a grounding problem. Utilitarianism grounds obligation in the maximization of welfare, but it cannot explain why welfare matters without eventually appealing to something that is simply taken as foundational. Kantian ethics grounds obligation in the requirements of </w:t>
        <w:lastRenderedPageBreak/>
        <w:t>rational agency, but it cannot explain why rational agency has the dignity it does without presupposing a view of persons that is not itself derivable from pure reason alone. Contractarianism grounds obligation in what rational agents would agree to under fair conditions, but it cannot explain why hypothetical agreements should bind actual persons without a prior account of what makes persons the kind of beings whose consent matters.</w:t>
      </w:r>
      <w:r>
        <w:rPr>
          <w:rFonts w:ascii="Times New Roman" w:hAnsi="Times New Roman" w:cs="Times New Roman"/>
          <w:sz w:val="22"/>
          <w:szCs w:val="22"/>
          <w:vertAlign w:val="superscript"/>
        </w:rPr>
        <w:t>1</w:t>
      </w:r>
      <w:r>
        <w:rPr>
          <w:rFonts w:ascii="Times New Roman" w:hAnsi="Times New Roman" w:cs="Times New Roman"/>
          <w:sz w:val="22"/>
          <w:szCs w:val="22"/>
        </w:rPr>
        <w:t xml:space="preserve"> Every theory has to start somewhere, and the starting point is always, in the end, something that the theory illuminates rather than proves.</w:t>
      </w:r>
    </w:p>
    <w:p w14:paraId="6BA7E9B3" w14:textId="77777777" w:rsidR="002A63A2" w:rsidRPr="00850CC8" w:rsidRDefault="002A63A2"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The question is not whether the relational theistic framework requires foundational commitments that not everyone shares. It does. The question is whether those commitments are more or less adequate to the moral phenomena they are meant to explain. Here the argument of chapter one becomes relevant again. The moral intuitions that all ethical theories attempt to systematize, the special weight of particular relationships, the irreducibility of personal dignity, the conviction that love directed toward a concrete person is more morally fundamental than any principle applied at a distance, these intuitions find their most coherent explanation in a universe whose deepest structure is personal and relational. The evolutionary naturalist account, that these intuitions are the residue of selection pressures with no further grounding, cannot explain why they carry the normative force they actually carry in our experience, nor why they generate obligations that resist being overridden by calculation.</w:t>
      </w:r>
      <w:r>
        <w:rPr>
          <w:rFonts w:ascii="Times New Roman" w:hAnsi="Times New Roman" w:cs="Times New Roman"/>
          <w:sz w:val="22"/>
          <w:szCs w:val="22"/>
          <w:vertAlign w:val="superscript"/>
        </w:rPr>
        <w:t>2</w:t>
      </w:r>
    </w:p>
    <w:p w14:paraId="23BD60AB" w14:textId="77777777" w:rsidR="002A63A2" w:rsidRPr="00850CC8" w:rsidRDefault="002A63A2"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The argument is therefore abductive rather than deductive. It does not prove the Trinity from first principles. It argues that the Trinity provides the most adequate account of why moral reality has the shape it actually does. That is a different kind of claim, and a more defensible one. Readers who reject the Trinitarian foundation are not being told they have failed a logical test. They are being invited to consider whether their own account of moral reality, whatever it is, can carry the weight that the moral life actually places on it.</w:t>
      </w:r>
    </w:p>
    <w:p w14:paraId="333239E4" w14:textId="77777777" w:rsidR="002A63A2" w:rsidRPr="00850CC8" w:rsidRDefault="002A63A2"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C. Stephen Evans has argued that moral obligations considered as obligations, not merely as rational recommendations or social pressures but as real claims that bind regardless of whether I find them convenient, make most sense if they arise from a personal source.</w:t>
      </w:r>
      <w:r>
        <w:rPr>
          <w:rFonts w:ascii="Times New Roman" w:hAnsi="Times New Roman" w:cs="Times New Roman"/>
          <w:sz w:val="22"/>
          <w:szCs w:val="22"/>
          <w:vertAlign w:val="superscript"/>
        </w:rPr>
        <w:t>3</w:t>
      </w:r>
      <w:r>
        <w:rPr>
          <w:rFonts w:ascii="Times New Roman" w:hAnsi="Times New Roman" w:cs="Times New Roman"/>
          <w:sz w:val="22"/>
          <w:szCs w:val="22"/>
        </w:rPr>
        <w:t xml:space="preserve"> This does not demonstrate theism. It does suggest that the theist is not making a philosophically desperate move when she grounds moral obligation in divine character. She is making the move that best fits the phenomenology of moral experience as we actually live it.</w:t>
      </w:r>
    </w:p>
    <w:p w14:paraId="28E3BB64" w14:textId="77777777" w:rsidR="002A63A2" w:rsidRPr="00850CC8" w:rsidRDefault="002A63A2" w:rsidP="00850CC8">
      <w:pPr>
        <w:pStyle w:val="Heading2"/>
        <w:spacing w:line="276" w:lineRule="auto"/>
        <w:rPr>
          <w:rFonts w:ascii="Times New Roman" w:hAnsi="Times New Roman" w:cs="Times New Roman"/>
          <w:sz w:val="22"/>
          <w:szCs w:val="22"/>
        </w:rPr>
      </w:pPr>
      <w:bookmarkStart w:id="45" w:name="_Toc228335851"/>
      <w:r>
        <w:rPr>
          <w:rFonts w:ascii="Times New Roman" w:hAnsi="Times New Roman" w:cs="Times New Roman"/>
          <w:sz w:val="22"/>
          <w:szCs w:val="22"/>
        </w:rPr>
        <w:t>The Favoritism Objection: Proximity as Tribalism</w:t>
      </w:r>
      <w:bookmarkEnd w:id="45"/>
    </w:p>
    <w:p w14:paraId="4398C3D2" w14:textId="77777777" w:rsidR="002A63A2" w:rsidRPr="00850CC8" w:rsidRDefault="002A63A2"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A second objection cuts closer to the heart of the framework’s constructive argument. Granting, for the sake of discussion, that moral obligation has some ground beyond mere social convention, the objection asks whether grounding differential treatment in relational proximity is really any different from the familiar human tendency toward in-group favoritism. History is littered with moral catastrophes that were justified by appeal to special obligations: to tribe, to nation, to race, to religion. The slave owner claimed special obligations to his family that justified the labor extracted from those outside it. The nationalist claimed special obligations to his people that justified the exclusion or destruction of others. The crusader claimed special obligations to his God that licensed violence against those who did not share the relationship. If relational proximity generates stronger obligations, what prevents the framework from providing sophisticated justification for exactly these patterns?</w:t>
      </w:r>
    </w:p>
    <w:p w14:paraId="569D169F" w14:textId="77777777" w:rsidR="002A63A2" w:rsidRPr="00850CC8" w:rsidRDefault="002A63A2"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lastRenderedPageBreak/>
        <w:t>This objection has real historical weight and should not be dismissed. The damage done by appeals to special obligation has been real and extensive, and any framework that builds on relational proximity needs to reckon with that history honestly.</w:t>
      </w:r>
    </w:p>
    <w:p w14:paraId="6379A89A" w14:textId="77777777" w:rsidR="002A63A2" w:rsidRPr="00850CC8" w:rsidRDefault="002A63A2"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But the objection, pressed carefully, actually illuminates a feature of the framework that distinguishes it from the patterns it is being compared to. The relational framework as developed here does not hold that any relationship generates any differential treatment. It holds that the foundation of all ethical obligation is the character of God, which is love directed toward the good of the other. Differential treatment is warranted only when it flows from and remains accountable to that foundation. The closer relationship does not license the exploitation or neglect of those at greater distance. It generates heightened obligation, not license.</w:t>
      </w:r>
    </w:p>
    <w:p w14:paraId="4D4609CA" w14:textId="77777777" w:rsidR="002A63A2" w:rsidRPr="00850CC8" w:rsidRDefault="002A63A2"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The prophets of Israel demonstrate this from within the tradition itself. Amos, writing to God’s covenant people, the very community whose special relational proximity to God the framework takes seriously, declares: “You only have I known of all the families of the earth; therefore I will punish you for all your iniquities” (Amos 3:2). The covenant relationship, far from immunizing Israel against judgment, makes that judgment more severe. Closer relationship means greater accountability, not greater immunity.</w:t>
      </w:r>
      <w:r>
        <w:rPr>
          <w:rFonts w:ascii="Times New Roman" w:hAnsi="Times New Roman" w:cs="Times New Roman"/>
          <w:sz w:val="22"/>
          <w:szCs w:val="22"/>
          <w:vertAlign w:val="superscript"/>
        </w:rPr>
        <w:t>4</w:t>
      </w:r>
      <w:r>
        <w:rPr>
          <w:rFonts w:ascii="Times New Roman" w:hAnsi="Times New Roman" w:cs="Times New Roman"/>
          <w:sz w:val="22"/>
          <w:szCs w:val="22"/>
        </w:rPr>
        <w:t xml:space="preserve"> Micah condemns Israel’s leaders precisely because their special position within the covenant community should have produced justice for the vulnerable and produced instead its systematic violation (Micah 3:1–12). The prophetic tradition is the tradition’s internal self-critique, and it operates by applying the same relational logic the framework employs: those closest to God are held to the highest standard.</w:t>
      </w:r>
    </w:p>
    <w:p w14:paraId="12F26F2A" w14:textId="77777777" w:rsidR="002A63A2" w:rsidRPr="00850CC8" w:rsidRDefault="002A63A2"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Moreover, the objection confuses relational proximity with relational exclusivity. The relational framework does not say that only those near to me matter. It says that those near to me generate obligations of a different kind and weight than those at greater distance. Both groups generate obligations. A parent who devotes himself entirely to his own children at the expense of all concern for others’ children has not understood the framework; he has collapsed it into a parochialism that the framework itself rejects. The foundation, that God’s love extends to all he has made and that the image of God in every person grounds basic obligations of respect and care, remains constant across all relational distances. What varies is the character and intensity of obligation, not whether obligation exists.</w:t>
      </w:r>
    </w:p>
    <w:p w14:paraId="799F5D7E" w14:textId="77777777" w:rsidR="002A63A2" w:rsidRPr="00850CC8" w:rsidRDefault="002A63A2"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Martha Nussbaum has pressed a version of this objection from the standpoint of cosmopolitan ethics, arguing that strong special obligations to particular communities systematically distort our moral perception and lead to neglect of those outside our circles.</w:t>
      </w:r>
      <w:r>
        <w:rPr>
          <w:rFonts w:ascii="Times New Roman" w:hAnsi="Times New Roman" w:cs="Times New Roman"/>
          <w:sz w:val="22"/>
          <w:szCs w:val="22"/>
          <w:vertAlign w:val="superscript"/>
        </w:rPr>
        <w:t>5</w:t>
      </w:r>
      <w:r>
        <w:rPr>
          <w:rFonts w:ascii="Times New Roman" w:hAnsi="Times New Roman" w:cs="Times New Roman"/>
          <w:sz w:val="22"/>
          <w:szCs w:val="22"/>
        </w:rPr>
        <w:t xml:space="preserve"> The response the framework offers is not that Nussbaum is wrong about the distortion, which is real, but that her proposed remedy, treating impartiality as the gold standard of moral reasoning, systematically underweights the particular relationships through which persons are actually formed, sustained, and made capable of the very compassion that cosmopolitan ethics wants to extend. The cure for parochialism is not the evacuation of particular relationship but the deepening of it: the person who has learned to love well within the relationships immediately before her is developing the moral capacity that eventually extends outward, not retreating from the universal behind the particular.</w:t>
      </w:r>
    </w:p>
    <w:p w14:paraId="71D2B6A9" w14:textId="77777777" w:rsidR="002A63A2" w:rsidRPr="00850CC8" w:rsidRDefault="002A63A2" w:rsidP="00850CC8">
      <w:pPr>
        <w:pStyle w:val="Heading2"/>
        <w:spacing w:line="276" w:lineRule="auto"/>
        <w:rPr>
          <w:rFonts w:ascii="Times New Roman" w:hAnsi="Times New Roman" w:cs="Times New Roman"/>
          <w:sz w:val="22"/>
          <w:szCs w:val="22"/>
        </w:rPr>
      </w:pPr>
      <w:bookmarkStart w:id="46" w:name="_Toc228335852"/>
      <w:r>
        <w:rPr>
          <w:rFonts w:ascii="Times New Roman" w:hAnsi="Times New Roman" w:cs="Times New Roman"/>
          <w:sz w:val="22"/>
          <w:szCs w:val="22"/>
        </w:rPr>
        <w:t>The Hermeneutical Objection: Readings Too Convenient</w:t>
      </w:r>
      <w:bookmarkEnd w:id="46"/>
    </w:p>
    <w:p w14:paraId="3BB67665" w14:textId="77777777" w:rsidR="002A63A2" w:rsidRPr="00850CC8" w:rsidRDefault="002A63A2"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 xml:space="preserve">A third objection is directed specifically at the three chapters that engaged the hardest biblical texts. The objection runs as follows: the relational framework was developed in chapters one through </w:t>
        <w:lastRenderedPageBreak/>
        <w:t>seven, and then in chapters eight, nine, and ten it was applied to texts that appeared to threaten it. The readings that resulted, herem as rhetorical rather than literal, the Flood as restorative uncreation rather than vindictive destruction, the imprecatory psalms as honest prayer that channels rather than enacts rage, are exactly the readings one would predict from a framework that needed to be rescued from those texts. The conclusion looks suspiciously like the starting point. What looks like honest engagement with difficult texts is, on this reading, controlled exegesis in service of a conclusion already reached.</w:t>
      </w:r>
    </w:p>
    <w:p w14:paraId="61E8C40D" w14:textId="77777777" w:rsidR="002A63A2" w:rsidRPr="00850CC8" w:rsidRDefault="002A63A2"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This is a serious charge, and it is one that any responsible interpreter of difficult texts must take seriously. The history of biblical interpretation includes far too many examples of exegesis that was, in reality, eisegesis, reading into texts the conclusions the interpreter needed to find there. The charge deserves a direct response.</w:t>
      </w:r>
    </w:p>
    <w:p w14:paraId="39B60BE0" w14:textId="77777777" w:rsidR="002A63A2" w:rsidRPr="00850CC8" w:rsidRDefault="002A63A2"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The first thing to say is that the framework was not constructed to rescue these texts. It was derived, in chapters one through three, from the character of the triune God and the relational constitution of persons made in his image, and developed in chapters four through seven by attending to the actual texture of our moral experience and the patterns that appear in biblical narrative. The hard texts were not the starting point. They were the test. A framework that made those texts easy would be suspect. The fact that significant moral tension remains after the readings offered in chapters eight through ten is not a defect to be hidden; it is evidence that the readings are not simply making the texts comfortable.</w:t>
      </w:r>
    </w:p>
    <w:p w14:paraId="17F27275" w14:textId="77777777" w:rsidR="002A63A2" w:rsidRPr="00850CC8" w:rsidRDefault="002A63A2"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The second thing to say is that the readings offered are not novel constructions of this book. The rhetorical nature of ancient Near Eastern conquest language has been established by scholars with no theological stake in rescuing the biblical text, most notably K. Lawson Younger Jr., whose comparative analysis of ancient conquest accounts preceded and informed the argument rather than being recruited into it.</w:t>
      </w:r>
      <w:r>
        <w:rPr>
          <w:rFonts w:ascii="Times New Roman" w:hAnsi="Times New Roman" w:cs="Times New Roman"/>
          <w:sz w:val="22"/>
          <w:szCs w:val="22"/>
          <w:vertAlign w:val="superscript"/>
        </w:rPr>
        <w:t>6</w:t>
      </w:r>
      <w:r>
        <w:rPr>
          <w:rFonts w:ascii="Times New Roman" w:hAnsi="Times New Roman" w:cs="Times New Roman"/>
          <w:sz w:val="22"/>
          <w:szCs w:val="22"/>
        </w:rPr>
        <w:t xml:space="preserve"> The uncreation-recreation structure of Genesis 6–9 is recognized by Old Testament scholars across a wide theological spectrum.</w:t>
      </w:r>
      <w:r>
        <w:rPr>
          <w:rFonts w:ascii="Times New Roman" w:hAnsi="Times New Roman" w:cs="Times New Roman"/>
          <w:sz w:val="22"/>
          <w:szCs w:val="22"/>
          <w:vertAlign w:val="superscript"/>
        </w:rPr>
        <w:t>7</w:t>
      </w:r>
      <w:r>
        <w:rPr>
          <w:rFonts w:ascii="Times New Roman" w:hAnsi="Times New Roman" w:cs="Times New Roman"/>
          <w:sz w:val="22"/>
          <w:szCs w:val="22"/>
        </w:rPr>
        <w:t xml:space="preserve"> The covenant-treaty background of the imprecatory psalms is established by ancient Near Eastern scholarship that is interested in the texts as historical artifacts before it is interested in their theological implications.</w:t>
      </w:r>
      <w:r>
        <w:rPr>
          <w:rFonts w:ascii="Times New Roman" w:hAnsi="Times New Roman" w:cs="Times New Roman"/>
          <w:sz w:val="22"/>
          <w:szCs w:val="22"/>
          <w:vertAlign w:val="superscript"/>
        </w:rPr>
        <w:t>8</w:t>
      </w:r>
      <w:r>
        <w:rPr>
          <w:rFonts w:ascii="Times New Roman" w:hAnsi="Times New Roman" w:cs="Times New Roman"/>
          <w:sz w:val="22"/>
          <w:szCs w:val="22"/>
        </w:rPr>
        <w:t xml:space="preserve"> These are not readings invented by the framework; they are readings that the framework makes sense of.</w:t>
      </w:r>
    </w:p>
    <w:p w14:paraId="4B1DC36D" w14:textId="77777777" w:rsidR="002A63A2" w:rsidRPr="00850CC8" w:rsidRDefault="002A63A2"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The third and most important point is this. The hermeneutical objection, pressed to its conclusion, proves too much. It would apply equally to any reading that places difficult texts within a larger interpretive context, whether that context is provided by a moral theory, a theological framework, a historical reconstruction, or a literary analysis. Every interpretation of a difficult text involves bringing something to the text. The question is not whether the interpreter brings a framework but whether the framework is honest about its commitments, responsive to the full range of the textual evidence, and capable of acknowledging what it cannot explain. The readings offered in the preceding three chapters attempted to meet these criteria. They acknowledged the moral weight of innocent casualties in the conquest; they declined to claim that the Flood presents no theodicy problem; they noted that not every sentiment in the imprecatory psalms is one a Christian should imitate. A truly controlled eisegesis would have done none of these things.</w:t>
      </w:r>
    </w:p>
    <w:p w14:paraId="4FDF0D08" w14:textId="77777777" w:rsidR="002A63A2" w:rsidRPr="00850CC8" w:rsidRDefault="002A63A2"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Kenton Sparks, writing from within the evangelical tradition, has argued that honest engagement with the Bible’s difficult texts requires acknowledging that they reflect the limitations of their human authors as well as the revelation of God, and that this acknowledgment is itself a form of theological faithfulness rather than a concession to skepticism.</w:t>
      </w:r>
      <w:r>
        <w:rPr>
          <w:rFonts w:ascii="Times New Roman" w:hAnsi="Times New Roman" w:cs="Times New Roman"/>
          <w:sz w:val="22"/>
          <w:szCs w:val="22"/>
          <w:vertAlign w:val="superscript"/>
        </w:rPr>
        <w:t>9</w:t>
      </w:r>
      <w:r>
        <w:rPr>
          <w:rFonts w:ascii="Times New Roman" w:hAnsi="Times New Roman" w:cs="Times New Roman"/>
          <w:sz w:val="22"/>
          <w:szCs w:val="22"/>
        </w:rPr>
        <w:t xml:space="preserve"> The framework developed here does not fully </w:t>
        <w:lastRenderedPageBreak/>
        <w:t>endorse Sparks’s account of biblical inspiration, but it shares his insistence that readings that make every difficulty disappear are less trustworthy, not more so, than readings that leave some tensions in place.</w:t>
      </w:r>
    </w:p>
    <w:p w14:paraId="3B03BCFB" w14:textId="77777777" w:rsidR="002A63A2" w:rsidRPr="00850CC8" w:rsidRDefault="002A63A2" w:rsidP="00850CC8">
      <w:pPr>
        <w:pStyle w:val="Heading2"/>
        <w:spacing w:line="276" w:lineRule="auto"/>
        <w:rPr>
          <w:rFonts w:ascii="Times New Roman" w:hAnsi="Times New Roman" w:cs="Times New Roman"/>
          <w:sz w:val="22"/>
          <w:szCs w:val="22"/>
        </w:rPr>
      </w:pPr>
      <w:bookmarkStart w:id="47" w:name="_Toc228335853"/>
      <w:r>
        <w:rPr>
          <w:rFonts w:ascii="Times New Roman" w:hAnsi="Times New Roman" w:cs="Times New Roman"/>
          <w:sz w:val="22"/>
          <w:szCs w:val="22"/>
        </w:rPr>
        <w:t>The Adjudication Objection: Wisdom Without Criteria</w:t>
      </w:r>
      <w:bookmarkEnd w:id="47"/>
    </w:p>
    <w:p w14:paraId="1975B131" w14:textId="77777777" w:rsidR="002A63A2" w:rsidRPr="00850CC8" w:rsidRDefault="002A63A2"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A fourth objection is practical rather than methodological. Even granting that the relational framework provides a defensible account of the moral life in its broad outlines, the objection asks what the framework actually provides when a person must make a concrete decision between competing relational obligations. If my obligation to my child conflicts with my obligation to my neighbor, if loyalty to my community conflicts with obligations to those outside it, if the mercy I owe one person is in tension with the justice I owe another, the framework points toward practical wisdom as the faculty that navigates these conflicts. But practical wisdom, the objection presses, is not a decision procedure. It is a name for the judgment of a person whose character has been well formed, and it offers no help to the person who is not yet such a person, or who faces a situation of actual novelty where even excellent character provides insufficient guidance.</w:t>
      </w:r>
    </w:p>
    <w:p w14:paraId="531B6DA1" w14:textId="77777777" w:rsidR="002A63A2" w:rsidRPr="00850CC8" w:rsidRDefault="002A63A2"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This objection is right about what practical wisdom is. It is not a decision procedure, and the framework does not claim that it is. What the objection mistakes is the alternative. Every ethical theory faces the problem of conflicting obligations. Utilitarianism faces it when competing utilities cannot be calculated. Kantian ethics faces it when categorical imperatives conflict. W. D. Ross’s pluralism, which the framework has drawn on at several points, is explicit about this: when prima facie duties conflict, no algorithm determines which prevails, and Ross honestly says so.</w:t>
      </w:r>
      <w:r>
        <w:rPr>
          <w:rFonts w:ascii="Times New Roman" w:hAnsi="Times New Roman" w:cs="Times New Roman"/>
          <w:sz w:val="22"/>
          <w:szCs w:val="22"/>
          <w:vertAlign w:val="superscript"/>
        </w:rPr>
        <w:t>10</w:t>
      </w:r>
      <w:r>
        <w:rPr>
          <w:rFonts w:ascii="Times New Roman" w:hAnsi="Times New Roman" w:cs="Times New Roman"/>
          <w:sz w:val="22"/>
          <w:szCs w:val="22"/>
        </w:rPr>
        <w:t xml:space="preserve"> The objection, if it proves anything, proves that ethical theory as such cannot eliminate the need for judgment. It does not show that the relational framework is distinctively deficient.</w:t>
      </w:r>
    </w:p>
    <w:p w14:paraId="5E49A89B" w14:textId="77777777" w:rsidR="002A63A2" w:rsidRPr="00850CC8" w:rsidRDefault="002A63A2"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 xml:space="preserve">But there is a more substantive response available. The objection assumes that practical wisdom is merely the residue of formed character, that it has nothing to say to the person who has not yet acquired it. This undersells what the framework actually offers. Practical wisdom is not simply having good instincts; it is a structured capacity for perceiving what situations require. Aristotle’s account of </w:t>
      </w:r>
      <w:r>
        <w:rPr>
          <w:rFonts w:ascii="Times New Roman" w:hAnsi="Times New Roman" w:cs="Times New Roman"/>
          <w:i/>
          <w:iCs/>
          <w:sz w:val="22"/>
          <w:szCs w:val="22"/>
        </w:rPr>
        <w:t>phronēsis</w:t>
      </w:r>
      <w:r>
        <w:rPr>
          <w:rFonts w:ascii="Times New Roman" w:hAnsi="Times New Roman" w:cs="Times New Roman"/>
          <w:sz w:val="22"/>
          <w:szCs w:val="22"/>
        </w:rPr>
        <w:t xml:space="preserve"> treats it as a form of perceptual attention: the practically wise person sees the morally relevant features of a situation with clarity that comes from formation, not from the application of a rule.</w:t>
      </w:r>
      <w:r>
        <w:rPr>
          <w:rFonts w:ascii="Times New Roman" w:hAnsi="Times New Roman" w:cs="Times New Roman"/>
          <w:sz w:val="22"/>
          <w:szCs w:val="22"/>
          <w:vertAlign w:val="superscript"/>
        </w:rPr>
        <w:t>11</w:t>
      </w:r>
      <w:r>
        <w:rPr>
          <w:rFonts w:ascii="Times New Roman" w:hAnsi="Times New Roman" w:cs="Times New Roman"/>
          <w:sz w:val="22"/>
          <w:szCs w:val="22"/>
        </w:rPr>
        <w:t xml:space="preserve"> What the relational framework provides is a set of morally relevant categories that structure that perception: the nature of the relationship, the history of the specific engagement, the direction of the foundational obligation (toward the good of the other), the question of whose vulnerability is most immediately at stake, and the question of whether a proposed action can be accounted for to all parties with integrity.</w:t>
      </w:r>
    </w:p>
    <w:p w14:paraId="4AD62A75" w14:textId="77777777" w:rsidR="002A63A2" w:rsidRPr="00850CC8" w:rsidRDefault="002A63A2"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These categories do not produce automatic answers. What they produce is structured attention: they tell the agent what to look at when facing a situation of moral complexity. The person who approaches a conflict between obligations by asking these questions is not in the same position as the person who approaches it without them. The framework does not replace wisdom, but it is not without resources for developing it.</w:t>
      </w:r>
    </w:p>
    <w:p w14:paraId="1527B6C7" w14:textId="77777777" w:rsidR="002A63A2" w:rsidRPr="00850CC8" w:rsidRDefault="002A63A2"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John McDowell has argued that the demand for a decision procedure in ethics reflects a misunderstanding of what moral knowledge is. If moral knowledge is a form of perceptual sensitivity to the morally relevant features of situations, then the demand for an algorithm that eliminates the need for that sensitivity is a demand that could only be satisfied by reducing morality to something it is not.</w:t>
      </w:r>
      <w:r>
        <w:rPr>
          <w:rFonts w:ascii="Times New Roman" w:hAnsi="Times New Roman" w:cs="Times New Roman"/>
          <w:sz w:val="22"/>
          <w:szCs w:val="22"/>
          <w:vertAlign w:val="superscript"/>
        </w:rPr>
        <w:t>12</w:t>
      </w:r>
      <w:r>
        <w:rPr>
          <w:rFonts w:ascii="Times New Roman" w:hAnsi="Times New Roman" w:cs="Times New Roman"/>
          <w:sz w:val="22"/>
          <w:szCs w:val="22"/>
        </w:rPr>
        <w:t xml:space="preserve"> The </w:t>
        <w:lastRenderedPageBreak/>
        <w:t>relational framework accepts this. What it offers instead is a structured account of what to attend to and why, grounded in the character of a God whose love is always responsive to the particular person before him.</w:t>
      </w:r>
    </w:p>
    <w:p w14:paraId="2F9BB5D4" w14:textId="77777777" w:rsidR="002A63A2" w:rsidRPr="00850CC8" w:rsidRDefault="002A63A2" w:rsidP="00850CC8">
      <w:pPr>
        <w:pStyle w:val="Heading2"/>
        <w:spacing w:line="276" w:lineRule="auto"/>
        <w:rPr>
          <w:rFonts w:ascii="Times New Roman" w:hAnsi="Times New Roman" w:cs="Times New Roman"/>
          <w:sz w:val="22"/>
          <w:szCs w:val="22"/>
        </w:rPr>
      </w:pPr>
      <w:bookmarkStart w:id="48" w:name="_Toc228335854"/>
      <w:r>
        <w:rPr>
          <w:rFonts w:ascii="Times New Roman" w:hAnsi="Times New Roman" w:cs="Times New Roman"/>
          <w:sz w:val="22"/>
          <w:szCs w:val="22"/>
        </w:rPr>
        <w:t>The Residue Objection: Unacknowledged Moral Costs</w:t>
      </w:r>
      <w:bookmarkEnd w:id="48"/>
    </w:p>
    <w:p w14:paraId="039B4F13" w14:textId="77777777" w:rsidR="002A63A2" w:rsidRPr="00850CC8" w:rsidRDefault="002A63A2"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The fifth and most searching objection is not a challenge to the framework’s logic but to its honesty. It asks whether the framework, for all its care with difficult texts, has fully reckoned with the moral costs of what it defends. The conquest of Canaan involved the deaths of children. The Flood, however it is historicized or theologized, narratively represents the death of nearly all of humanity. The imprecatory psalms express desires for suffering that include the suffering of the innocent. The framework has offered responses to these difficulties, but the residue objection presses the question: has the framework acknowledged what it cost to say what it says?</w:t>
      </w:r>
    </w:p>
    <w:p w14:paraId="78354332" w14:textId="77777777" w:rsidR="002A63A2" w:rsidRPr="00850CC8" w:rsidRDefault="002A63A2"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This objection deserves the most careful response, because it is the most likely to be met with the least satisfactory one. The temptation is to conclude that since a response has been given, the difficulty has been resolved. It has not.</w:t>
      </w:r>
    </w:p>
    <w:p w14:paraId="2E5FD751" w14:textId="77777777" w:rsidR="002A63A2" w:rsidRPr="00850CC8" w:rsidRDefault="002A63A2"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Marilyn McCord Adams has argued, in a different context but with direct relevance here, that some evils are so severe and so close to the center of a person’s identity that no explanation of their place in God’s purposes can be adequate without God’s own personal engagement with the sufferer.</w:t>
      </w:r>
      <w:r>
        <w:rPr>
          <w:rFonts w:ascii="Times New Roman" w:hAnsi="Times New Roman" w:cs="Times New Roman"/>
          <w:sz w:val="22"/>
          <w:szCs w:val="22"/>
          <w:vertAlign w:val="superscript"/>
        </w:rPr>
        <w:t>13</w:t>
      </w:r>
      <w:r>
        <w:rPr>
          <w:rFonts w:ascii="Times New Roman" w:hAnsi="Times New Roman" w:cs="Times New Roman"/>
          <w:sz w:val="22"/>
          <w:szCs w:val="22"/>
        </w:rPr>
        <w:t xml:space="preserve"> Her category of “horrendous evils”, evils that constitute a prima facie reason to doubt that a person’s life could be worth living, is useful precisely because it refuses to let the theodicist rest content with structural explanations. The death of children in divine judgment, whatever its corporate and redemptive logic, is a horrendous evil in Adams’s sense. The theodicy offered in chapter eight is not adequate to it. No theodicy would be.</w:t>
      </w:r>
    </w:p>
    <w:p w14:paraId="2DD40589" w14:textId="77777777" w:rsidR="002A63A2" w:rsidRPr="00850CC8" w:rsidRDefault="002A63A2"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What the framework claims is not that these moral costs are resolved but that they are not arbitrary. There is a difference between moral tension that arises from the collision of two real goods, and moral incoherence that arises from a character that is simply contradictory. The relational framework argues that what appears to be divine moral incoherence, a God who commands love and also commands violence, is better understood as the collision of two real goods: the good of mercy and restoration on one side, and the good of justice and the protection of victims on the other. These goods are not always reconcilable at the level of history. The cross is God’s definitive answer to that irreconcilability, not by eliminating the tension but by bearing it.</w:t>
      </w:r>
    </w:p>
    <w:p w14:paraId="39E51AB5" w14:textId="77777777" w:rsidR="002A63A2" w:rsidRPr="00850CC8" w:rsidRDefault="002A63A2"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Bernard Williams’s concept of moral residue is worth invoking here. Williams argued that even when a moral agent makes the right choice in a situation of actual moral conflict, something real is lost.</w:t>
      </w:r>
      <w:r>
        <w:rPr>
          <w:rFonts w:ascii="Times New Roman" w:hAnsi="Times New Roman" w:cs="Times New Roman"/>
          <w:sz w:val="22"/>
          <w:szCs w:val="22"/>
          <w:vertAlign w:val="superscript"/>
        </w:rPr>
        <w:t>14</w:t>
      </w:r>
      <w:r>
        <w:rPr>
          <w:rFonts w:ascii="Times New Roman" w:hAnsi="Times New Roman" w:cs="Times New Roman"/>
          <w:sz w:val="22"/>
          <w:szCs w:val="22"/>
        </w:rPr>
        <w:t xml:space="preserve"> The agent who breaks a promise to help someone in greater need has done the right thing, but the promise is still broken and the one who was promised still has a legitimate grievance. The moral remainder is real even when the action was justified. Applied to the framework’s engagement with the hard texts: even if the conquest of Canaan was, within the framework’s account, a morally defensible act of judgment under specific historical and relational conditions, the children who died were real, their deaths were real losses, and the moral remainder of those deaths is not cancelled by the structural explanation. The framework that acknowledges this is more trustworthy than the one that claims its explanations leave nothing unresolved.</w:t>
      </w:r>
    </w:p>
    <w:p w14:paraId="253E659A" w14:textId="77777777" w:rsidR="002A63A2" w:rsidRPr="00850CC8" w:rsidRDefault="002A63A2"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lastRenderedPageBreak/>
        <w:t>The residue objection, then, is not finally a challenge to the framework’s conclusions but to the tone in which those conclusions are sometimes stated. The appropriate tone is not satisfaction at having solved the problem but the gravity that comes from having understood that some of God’s ways in history have cost something real. The trajectory of revelation, from conquest to cross, is not a movement from one comfortable position to another. It is a movement toward the place where God himself absorbs the moral cost that the hard texts expose. That is the only theodicy that is adequate to the weight of what those texts present, and it is not a theoretical answer but a personal one.</w:t>
      </w:r>
    </w:p>
    <w:p w14:paraId="65CC823C" w14:textId="77777777" w:rsidR="002A63A2" w:rsidRPr="00850CC8" w:rsidRDefault="002A63A2"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 xml:space="preserve">This is also where the companion volume’s argument becomes relevant. </w:t>
      </w:r>
      <w:r>
        <w:rPr>
          <w:rFonts w:ascii="Times New Roman" w:hAnsi="Times New Roman" w:cs="Times New Roman"/>
          <w:i/>
          <w:iCs/>
          <w:sz w:val="22"/>
          <w:szCs w:val="22"/>
        </w:rPr>
        <w:t>The Matter of God’s Character</w:t>
      </w:r>
      <w:r>
        <w:rPr>
          <w:rFonts w:ascii="Times New Roman" w:hAnsi="Times New Roman" w:cs="Times New Roman"/>
          <w:sz w:val="22"/>
          <w:szCs w:val="22"/>
        </w:rPr>
        <w:t xml:space="preserve"> argued that the Incarnation was not a contingency plan adopted in response to human sin but the centerpiece of the divine purpose from the beginning. If that argument is correct, then the costly moments in the biblical narrative are not deviations from a plan that was originally violence-free. They are movements within a drama whose climactic act is the self-giving of God in Christ. The moral costs of the hard texts are not retroactively justified by the cross; they are held within a story whose ending is not yet visible from within the hard texts themselves, and whose ending is the most costly act of all.</w:t>
      </w:r>
    </w:p>
    <w:p w14:paraId="71AD27F6" w14:textId="77777777" w:rsidR="002A63A2" w:rsidRPr="00850CC8" w:rsidRDefault="002A63A2" w:rsidP="00850CC8">
      <w:pPr>
        <w:pStyle w:val="Heading2"/>
        <w:spacing w:line="276" w:lineRule="auto"/>
        <w:rPr>
          <w:rFonts w:ascii="Times New Roman" w:hAnsi="Times New Roman" w:cs="Times New Roman"/>
          <w:sz w:val="22"/>
          <w:szCs w:val="22"/>
        </w:rPr>
      </w:pPr>
      <w:bookmarkStart w:id="49" w:name="_Toc228335855"/>
      <w:r>
        <w:rPr>
          <w:rFonts w:ascii="Times New Roman" w:hAnsi="Times New Roman" w:cs="Times New Roman"/>
          <w:sz w:val="22"/>
          <w:szCs w:val="22"/>
        </w:rPr>
        <w:t>What the Framework Claims and What It Does Not</w:t>
      </w:r>
      <w:bookmarkEnd w:id="49"/>
    </w:p>
    <w:p w14:paraId="1AE3055A" w14:textId="77777777" w:rsidR="002A63A2" w:rsidRPr="00850CC8" w:rsidRDefault="002A63A2"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Having pressed the framework against these five objections, it is worth stating clearly what has and has not been established.</w:t>
      </w:r>
    </w:p>
    <w:p w14:paraId="12510046" w14:textId="77777777" w:rsidR="002A63A2" w:rsidRPr="00850CC8" w:rsidRDefault="002A63A2"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The framework has not demonstrated that the relational theistic account of moral obligation is the only possible account. It has argued that it is more adequate to the actual texture of our moral experience than the available alternatives, and that its foundational commitments, while not universally shared, are not philosophically arbitrary. Readers who do not share those commitments are owed an honest account of where the argument depends on them, and that account has been offered.</w:t>
      </w:r>
    </w:p>
    <w:p w14:paraId="48844835" w14:textId="77777777" w:rsidR="002A63A2" w:rsidRPr="00850CC8" w:rsidRDefault="002A63A2"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The framework has not demonstrated that every reading offered for the hard texts is beyond question. It has argued that those readings are exegetically responsible, that they are responsive to the full range of relevant scholarship, and that they acknowledge the moral tensions they cannot resolve rather than concealing them. A better reading that is equally responsible exegetically, equally honest about what it leaves unresolved, and more adequate to the full biblical witness would be welcome.</w:t>
      </w:r>
    </w:p>
    <w:p w14:paraId="15D2FDBC" w14:textId="77777777" w:rsidR="002A63A2" w:rsidRPr="00850CC8" w:rsidRDefault="002A63A2"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The framework has not demonstrated that practical wisdom is all a person needs in order to navigate complex moral situations. It has argued that practical wisdom is not the arbitrary intuition of the untrained but a structured perceptual capacity that can be developed, and that the framework provides real categories for that development. The person who faces a truly novel and truly agonizing moral conflict is not left with nothing. She is left with less than she might want, which is to say she is left in the condition that every honest ethical framework eventually produces.</w:t>
      </w:r>
    </w:p>
    <w:p w14:paraId="5A5CDF06" w14:textId="77777777" w:rsidR="002A63A2" w:rsidRPr="00850CC8" w:rsidRDefault="002A63A2"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The framework has not resolved the theodicy problem. It has argued that the moral tensions in the hard texts are real tensions between real goods rather than evidence of divine moral incoherence, and that the trajectory of biblical revelation moves consistently toward an answer that is not theoretical but personal: a God who bears the moral cost of history rather than explaining it away. That answer is not satisfying in the way that a philosophical resolution would be satisfying. It is satisfying in the way that presence is satisfying when explanation fails, which is a different kind of satisfaction and, for those in the middle of the hard situations that the hard texts address, the only kind that is actually available.</w:t>
      </w:r>
    </w:p>
    <w:p w14:paraId="37E4DF31" w14:textId="77777777" w:rsidR="002A63A2" w:rsidRPr="00850CC8" w:rsidRDefault="002A63A2"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lastRenderedPageBreak/>
        <w:t>What the framework has established is this: that the moral life we actually live, with its special obligations and situational demands, its insistence that justice and mercy belong together, its deep conviction that persons cannot be reduced to instances of universal categories, finds its most adequate ground in the character of a God whose inner life is constituted by perichoretic self-giving love and whose engagement with his creatures has been, from the beginning, always already personal. That is not a small claim. It is not a claim that answers every question. But it is a claim that illuminates more of the territory than its competitors, and that illumination is what the preceding chapters have been attempting to provide.</w:t>
      </w:r>
    </w:p>
    <w:p w14:paraId="625337DC" w14:textId="77777777" w:rsidR="002A63A2" w:rsidRPr="00850CC8" w:rsidRDefault="002A63A2" w:rsidP="00850CC8">
      <w:pPr>
        <w:spacing w:after="160" w:line="276" w:lineRule="auto"/>
        <w:ind w:firstLine="720"/>
        <w:rPr>
          <w:rFonts w:ascii="Times New Roman" w:hAnsi="Times New Roman" w:cs="Times New Roman"/>
          <w:sz w:val="22"/>
          <w:szCs w:val="22"/>
        </w:rPr>
      </w:pPr>
      <w:r>
        <w:rPr>
          <w:rFonts w:ascii="Times New Roman" w:hAnsi="Times New Roman" w:cs="Times New Roman"/>
          <w:sz w:val="22"/>
          <w:szCs w:val="22"/>
        </w:rPr>
        <w:t>The framework is not finished. No serious ethical argument ever is. It is offered as a contribution to a conversation that will continue, and it will be tested further by the readers who engage it, the situations that press on it, and the texts that refuse to make themselves easy. That is as it should be.</w:t>
      </w:r>
    </w:p>
    <w:p w14:paraId="2D92E3B1" w14:textId="77777777" w:rsidR="002A63A2" w:rsidRPr="00850CC8" w:rsidRDefault="002A63A2" w:rsidP="00850CC8">
      <w:pPr>
        <w:spacing w:before="480" w:after="200" w:line="276" w:lineRule="auto"/>
        <w:rPr>
          <w:rFonts w:ascii="Times New Roman" w:hAnsi="Times New Roman" w:cs="Times New Roman"/>
          <w:sz w:val="22"/>
          <w:szCs w:val="22"/>
        </w:rPr>
      </w:pPr>
      <w:r>
        <w:rPr>
          <w:rFonts w:ascii="Times New Roman" w:hAnsi="Times New Roman" w:cs="Times New Roman"/>
          <w:b/>
          <w:bCs/>
          <w:sz w:val="22"/>
          <w:szCs w:val="22"/>
        </w:rPr>
        <w:t>Notes</w:t>
      </w:r>
    </w:p>
    <w:p w14:paraId="7735BEEF" w14:textId="77777777" w:rsidR="002A63A2" w:rsidRPr="00850CC8" w:rsidRDefault="002A63A2" w:rsidP="00850CC8">
      <w:pPr>
        <w:spacing w:after="120" w:line="276" w:lineRule="auto"/>
        <w:ind w:left="360" w:hanging="360"/>
        <w:rPr>
          <w:rFonts w:ascii="Times New Roman" w:hAnsi="Times New Roman" w:cs="Times New Roman"/>
          <w:sz w:val="22"/>
          <w:szCs w:val="22"/>
        </w:rPr>
      </w:pPr>
      <w:r>
        <w:rPr>
          <w:rFonts w:ascii="Times New Roman" w:hAnsi="Times New Roman" w:cs="Times New Roman"/>
          <w:b/>
          <w:bCs/>
          <w:sz w:val="22"/>
          <w:szCs w:val="22"/>
        </w:rPr>
        <w:t>1. </w:t>
      </w:r>
      <w:r>
        <w:rPr>
          <w:rFonts w:ascii="Times New Roman" w:hAnsi="Times New Roman" w:cs="Times New Roman"/>
          <w:sz w:val="22"/>
          <w:szCs w:val="22"/>
        </w:rPr>
        <w:t xml:space="preserve">The observation that every ethical theory faces a grounding problem is developed with particular clarity in C. Stephen Evans, </w:t>
      </w:r>
      <w:r>
        <w:rPr>
          <w:rFonts w:ascii="Times New Roman" w:hAnsi="Times New Roman" w:cs="Times New Roman"/>
          <w:i/>
          <w:iCs/>
          <w:sz w:val="22"/>
          <w:szCs w:val="22"/>
        </w:rPr>
        <w:t>God and Moral Obligation</w:t>
      </w:r>
      <w:r>
        <w:rPr>
          <w:rFonts w:ascii="Times New Roman" w:hAnsi="Times New Roman" w:cs="Times New Roman"/>
          <w:sz w:val="22"/>
          <w:szCs w:val="22"/>
        </w:rPr>
        <w:t xml:space="preserve"> (Oxford: Oxford University Press, 2013), 1–30. Evans argues that the failure of secular moral theories to provide adequate grounding for moral obligation does not demonstrate theism but does show that the theistic move is not philosophically desperate. For the specific grounding problems facing contractualism, see T. M. Scanlon, </w:t>
      </w:r>
      <w:r>
        <w:rPr>
          <w:rFonts w:ascii="Times New Roman" w:hAnsi="Times New Roman" w:cs="Times New Roman"/>
          <w:i/>
          <w:iCs/>
          <w:sz w:val="22"/>
          <w:szCs w:val="22"/>
        </w:rPr>
        <w:t>What We Owe to Each Other</w:t>
      </w:r>
      <w:r>
        <w:rPr>
          <w:rFonts w:ascii="Times New Roman" w:hAnsi="Times New Roman" w:cs="Times New Roman"/>
          <w:sz w:val="22"/>
          <w:szCs w:val="22"/>
        </w:rPr>
        <w:t xml:space="preserve"> (Cambridge: Harvard University Press, 1998), 147–153, where Scanlon himself acknowledges the difficulty of explaining why the contractualist account is binding rather than merely a useful social arrangement.</w:t>
      </w:r>
    </w:p>
    <w:p w14:paraId="63EADB85" w14:textId="77777777" w:rsidR="002A63A2" w:rsidRPr="00850CC8" w:rsidRDefault="002A63A2" w:rsidP="00850CC8">
      <w:pPr>
        <w:spacing w:after="120" w:line="276" w:lineRule="auto"/>
        <w:ind w:left="360" w:hanging="360"/>
        <w:rPr>
          <w:rFonts w:ascii="Times New Roman" w:hAnsi="Times New Roman" w:cs="Times New Roman"/>
          <w:sz w:val="22"/>
          <w:szCs w:val="22"/>
        </w:rPr>
      </w:pPr>
      <w:r>
        <w:rPr>
          <w:rFonts w:ascii="Times New Roman" w:hAnsi="Times New Roman" w:cs="Times New Roman"/>
          <w:b/>
          <w:bCs/>
          <w:sz w:val="22"/>
          <w:szCs w:val="22"/>
        </w:rPr>
        <w:t>2. </w:t>
      </w:r>
      <w:r>
        <w:rPr>
          <w:rFonts w:ascii="Times New Roman" w:hAnsi="Times New Roman" w:cs="Times New Roman"/>
          <w:sz w:val="22"/>
          <w:szCs w:val="22"/>
        </w:rPr>
        <w:t xml:space="preserve">The evolutionary debunking argument, developed most rigorously by Sharon Street, “A Darwinian Dilemma for Realist Theories of Value,” </w:t>
      </w:r>
      <w:r>
        <w:rPr>
          <w:rFonts w:ascii="Times New Roman" w:hAnsi="Times New Roman" w:cs="Times New Roman"/>
          <w:i/>
          <w:iCs/>
          <w:sz w:val="22"/>
          <w:szCs w:val="22"/>
        </w:rPr>
        <w:t>Philosophical Studies</w:t>
      </w:r>
      <w:r>
        <w:rPr>
          <w:rFonts w:ascii="Times New Roman" w:hAnsi="Times New Roman" w:cs="Times New Roman"/>
          <w:sz w:val="22"/>
          <w:szCs w:val="22"/>
        </w:rPr>
        <w:t xml:space="preserve"> 127, no. 1 (2006): 109–166, was addressed in chapter one. The specifically Trinitarian response, that the God whose character grounds moral reality is the same God in whose image persons are made, is developed in chapter two. For the theistic response to evolutionary debunking arguments more broadly, see Alvin Plantinga, </w:t>
      </w:r>
      <w:r>
        <w:rPr>
          <w:rFonts w:ascii="Times New Roman" w:hAnsi="Times New Roman" w:cs="Times New Roman"/>
          <w:i/>
          <w:iCs/>
          <w:sz w:val="22"/>
          <w:szCs w:val="22"/>
        </w:rPr>
        <w:t>Where the Conflict Really Lies: Science, Religion, and Naturalism</w:t>
      </w:r>
      <w:r>
        <w:rPr>
          <w:rFonts w:ascii="Times New Roman" w:hAnsi="Times New Roman" w:cs="Times New Roman"/>
          <w:sz w:val="22"/>
          <w:szCs w:val="22"/>
        </w:rPr>
        <w:t xml:space="preserve"> (Oxford: Oxford University Press, 2011), 307–350.</w:t>
      </w:r>
    </w:p>
    <w:p w14:paraId="43F47188" w14:textId="77777777" w:rsidR="002A63A2" w:rsidRPr="00850CC8" w:rsidRDefault="002A63A2" w:rsidP="00850CC8">
      <w:pPr>
        <w:spacing w:after="120" w:line="276" w:lineRule="auto"/>
        <w:ind w:left="360" w:hanging="360"/>
        <w:rPr>
          <w:rFonts w:ascii="Times New Roman" w:hAnsi="Times New Roman" w:cs="Times New Roman"/>
          <w:sz w:val="22"/>
          <w:szCs w:val="22"/>
        </w:rPr>
      </w:pPr>
      <w:r>
        <w:rPr>
          <w:rFonts w:ascii="Times New Roman" w:hAnsi="Times New Roman" w:cs="Times New Roman"/>
          <w:b/>
          <w:bCs/>
          <w:sz w:val="22"/>
          <w:szCs w:val="22"/>
        </w:rPr>
        <w:t>3. </w:t>
      </w:r>
      <w:r>
        <w:rPr>
          <w:rFonts w:ascii="Times New Roman" w:hAnsi="Times New Roman" w:cs="Times New Roman"/>
          <w:sz w:val="22"/>
          <w:szCs w:val="22"/>
        </w:rPr>
        <w:t xml:space="preserve">Evans, </w:t>
      </w:r>
      <w:r>
        <w:rPr>
          <w:rFonts w:ascii="Times New Roman" w:hAnsi="Times New Roman" w:cs="Times New Roman"/>
          <w:i/>
          <w:iCs/>
          <w:sz w:val="22"/>
          <w:szCs w:val="22"/>
        </w:rPr>
        <w:t>God and Moral Obligation</w:t>
      </w:r>
      <w:r>
        <w:rPr>
          <w:rFonts w:ascii="Times New Roman" w:hAnsi="Times New Roman" w:cs="Times New Roman"/>
          <w:sz w:val="22"/>
          <w:szCs w:val="22"/>
        </w:rPr>
        <w:t xml:space="preserve">, 47–78. Evans’s argument that moral obligations, properly understood, require a personal source is developed in conversation with Robert Adams’s account of moral obligation in </w:t>
      </w:r>
      <w:r>
        <w:rPr>
          <w:rFonts w:ascii="Times New Roman" w:hAnsi="Times New Roman" w:cs="Times New Roman"/>
          <w:i/>
          <w:iCs/>
          <w:sz w:val="22"/>
          <w:szCs w:val="22"/>
        </w:rPr>
        <w:t>Finite and Infinite Goods: A Framework for Ethics</w:t>
      </w:r>
      <w:r>
        <w:rPr>
          <w:rFonts w:ascii="Times New Roman" w:hAnsi="Times New Roman" w:cs="Times New Roman"/>
          <w:sz w:val="22"/>
          <w:szCs w:val="22"/>
        </w:rPr>
        <w:t xml:space="preserve"> (Oxford: Oxford University Press, 1999), 231–276. Adams argues that the best account of moral obligation grounds it in the commands of a perfectly good God, and that this account is more adequate to the phenomenology of moral obligation than any secular alternative.</w:t>
      </w:r>
    </w:p>
    <w:p w14:paraId="13B43DAF" w14:textId="77777777" w:rsidR="002A63A2" w:rsidRPr="00850CC8" w:rsidRDefault="002A63A2" w:rsidP="00850CC8">
      <w:pPr>
        <w:spacing w:after="120" w:line="276" w:lineRule="auto"/>
        <w:ind w:left="360" w:hanging="360"/>
        <w:rPr>
          <w:rFonts w:ascii="Times New Roman" w:hAnsi="Times New Roman" w:cs="Times New Roman"/>
          <w:sz w:val="22"/>
          <w:szCs w:val="22"/>
        </w:rPr>
      </w:pPr>
      <w:r>
        <w:rPr>
          <w:rFonts w:ascii="Times New Roman" w:hAnsi="Times New Roman" w:cs="Times New Roman"/>
          <w:b/>
          <w:bCs/>
          <w:sz w:val="22"/>
          <w:szCs w:val="22"/>
        </w:rPr>
        <w:t>4. </w:t>
      </w:r>
      <w:r>
        <w:rPr>
          <w:rFonts w:ascii="Times New Roman" w:hAnsi="Times New Roman" w:cs="Times New Roman"/>
          <w:sz w:val="22"/>
          <w:szCs w:val="22"/>
        </w:rPr>
        <w:t xml:space="preserve">The prophetic use of covenant logic against Israel is one of the most important internal checks on any appeal to special relationship within the biblical tradition. For Amos’s argument that covenant proximity increases rather than decreases accountability, see Shalom Paul, </w:t>
      </w:r>
      <w:r>
        <w:rPr>
          <w:rFonts w:ascii="Times New Roman" w:hAnsi="Times New Roman" w:cs="Times New Roman"/>
          <w:i/>
          <w:iCs/>
          <w:sz w:val="22"/>
          <w:szCs w:val="22"/>
        </w:rPr>
        <w:t>Amos</w:t>
      </w:r>
      <w:r>
        <w:rPr>
          <w:rFonts w:ascii="Times New Roman" w:hAnsi="Times New Roman" w:cs="Times New Roman"/>
          <w:sz w:val="22"/>
          <w:szCs w:val="22"/>
        </w:rPr>
        <w:t xml:space="preserve">, Hermeneia (Minneapolis: Fortress, 1991), 98–101. For the broader prophetic critique of Israel as a pattern of internal self-correction within the canon, see Walter Brueggemann, </w:t>
      </w:r>
      <w:r>
        <w:rPr>
          <w:rFonts w:ascii="Times New Roman" w:hAnsi="Times New Roman" w:cs="Times New Roman"/>
          <w:i/>
          <w:iCs/>
          <w:sz w:val="22"/>
          <w:szCs w:val="22"/>
        </w:rPr>
        <w:t>The Prophetic Imagination</w:t>
      </w:r>
      <w:r>
        <w:rPr>
          <w:rFonts w:ascii="Times New Roman" w:hAnsi="Times New Roman" w:cs="Times New Roman"/>
          <w:sz w:val="22"/>
          <w:szCs w:val="22"/>
        </w:rPr>
        <w:t>, 2nd ed. (Minneapolis: Fortress, 2001), 1–26.</w:t>
      </w:r>
    </w:p>
    <w:p w14:paraId="04AF1CCC" w14:textId="77777777" w:rsidR="002A63A2" w:rsidRPr="00850CC8" w:rsidRDefault="002A63A2" w:rsidP="00850CC8">
      <w:pPr>
        <w:spacing w:after="120" w:line="276" w:lineRule="auto"/>
        <w:ind w:left="360" w:hanging="360"/>
        <w:rPr>
          <w:rFonts w:ascii="Times New Roman" w:hAnsi="Times New Roman" w:cs="Times New Roman"/>
          <w:sz w:val="22"/>
          <w:szCs w:val="22"/>
        </w:rPr>
      </w:pPr>
      <w:r>
        <w:rPr>
          <w:rFonts w:ascii="Times New Roman" w:hAnsi="Times New Roman" w:cs="Times New Roman"/>
          <w:b/>
          <w:bCs/>
          <w:sz w:val="22"/>
          <w:szCs w:val="22"/>
        </w:rPr>
        <w:lastRenderedPageBreak/>
        <w:t>5. </w:t>
      </w:r>
      <w:r>
        <w:rPr>
          <w:rFonts w:ascii="Times New Roman" w:hAnsi="Times New Roman" w:cs="Times New Roman"/>
          <w:sz w:val="22"/>
          <w:szCs w:val="22"/>
        </w:rPr>
        <w:t xml:space="preserve">Martha Nussbaum, </w:t>
      </w:r>
      <w:r>
        <w:rPr>
          <w:rFonts w:ascii="Times New Roman" w:hAnsi="Times New Roman" w:cs="Times New Roman"/>
          <w:i/>
          <w:iCs/>
          <w:sz w:val="22"/>
          <w:szCs w:val="22"/>
        </w:rPr>
        <w:t>For Love of Country? A New Democracy Forum on the Limits of Patriotism</w:t>
      </w:r>
      <w:r>
        <w:rPr>
          <w:rFonts w:ascii="Times New Roman" w:hAnsi="Times New Roman" w:cs="Times New Roman"/>
          <w:sz w:val="22"/>
          <w:szCs w:val="22"/>
        </w:rPr>
        <w:t xml:space="preserve">, ed. Joshua Cohen (Boston: Beacon Press, 1996), 3–17. Nussbaum’s cosmopolitan critique of special obligations has been influential and represents the strongest philosophical case for treating impartiality as the gold standard of moral reasoning. For a sustained response that defends special obligations against cosmopolitan objections while accepting the moral significance of universal obligations, see David Miller, </w:t>
      </w:r>
      <w:r>
        <w:rPr>
          <w:rFonts w:ascii="Times New Roman" w:hAnsi="Times New Roman" w:cs="Times New Roman"/>
          <w:i/>
          <w:iCs/>
          <w:sz w:val="22"/>
          <w:szCs w:val="22"/>
        </w:rPr>
        <w:t>On Nationality</w:t>
      </w:r>
      <w:r>
        <w:rPr>
          <w:rFonts w:ascii="Times New Roman" w:hAnsi="Times New Roman" w:cs="Times New Roman"/>
          <w:sz w:val="22"/>
          <w:szCs w:val="22"/>
        </w:rPr>
        <w:t xml:space="preserve"> (Oxford: Oxford University Press, 1995), 49–80.</w:t>
      </w:r>
    </w:p>
    <w:p w14:paraId="4CF076C1" w14:textId="77777777" w:rsidR="002A63A2" w:rsidRPr="00850CC8" w:rsidRDefault="002A63A2" w:rsidP="00850CC8">
      <w:pPr>
        <w:spacing w:after="120" w:line="276" w:lineRule="auto"/>
        <w:ind w:left="360" w:hanging="360"/>
        <w:rPr>
          <w:rFonts w:ascii="Times New Roman" w:hAnsi="Times New Roman" w:cs="Times New Roman"/>
          <w:sz w:val="22"/>
          <w:szCs w:val="22"/>
        </w:rPr>
      </w:pPr>
      <w:r>
        <w:rPr>
          <w:rFonts w:ascii="Times New Roman" w:hAnsi="Times New Roman" w:cs="Times New Roman"/>
          <w:b/>
          <w:bCs/>
          <w:sz w:val="22"/>
          <w:szCs w:val="22"/>
        </w:rPr>
        <w:t>6. </w:t>
      </w:r>
      <w:r>
        <w:rPr>
          <w:rFonts w:ascii="Times New Roman" w:hAnsi="Times New Roman" w:cs="Times New Roman"/>
          <w:sz w:val="22"/>
          <w:szCs w:val="22"/>
        </w:rPr>
        <w:t xml:space="preserve">K. Lawson Younger Jr., </w:t>
      </w:r>
      <w:r>
        <w:rPr>
          <w:rFonts w:ascii="Times New Roman" w:hAnsi="Times New Roman" w:cs="Times New Roman"/>
          <w:i/>
          <w:iCs/>
          <w:sz w:val="22"/>
          <w:szCs w:val="22"/>
        </w:rPr>
        <w:t>Ancient Conquest Accounts: A Study in Ancient Near Eastern and Biblical History Writing</w:t>
      </w:r>
      <w:r>
        <w:rPr>
          <w:rFonts w:ascii="Times New Roman" w:hAnsi="Times New Roman" w:cs="Times New Roman"/>
          <w:sz w:val="22"/>
          <w:szCs w:val="22"/>
        </w:rPr>
        <w:t xml:space="preserve"> (Sheffield: Sheffield Academic Press, 1990). Younger’s analysis predates the apologetic use to which it has been put by writers like Paul Copan and is conducted as a piece of comparative ancient Near Eastern literary scholarship. His conclusion that ancient conquest accounts regularly employ hyperbolic claims of total victory as a literary convention is grounded in the analysis of Hittite, Assyrian, Egyptian, and Moabite texts alongside the biblical material.</w:t>
      </w:r>
    </w:p>
    <w:p w14:paraId="4008B03E" w14:textId="77777777" w:rsidR="002A63A2" w:rsidRPr="00850CC8" w:rsidRDefault="002A63A2" w:rsidP="00850CC8">
      <w:pPr>
        <w:spacing w:after="120" w:line="276" w:lineRule="auto"/>
        <w:ind w:left="360" w:hanging="360"/>
        <w:rPr>
          <w:rFonts w:ascii="Times New Roman" w:hAnsi="Times New Roman" w:cs="Times New Roman"/>
          <w:sz w:val="22"/>
          <w:szCs w:val="22"/>
        </w:rPr>
      </w:pPr>
      <w:r>
        <w:rPr>
          <w:rFonts w:ascii="Times New Roman" w:hAnsi="Times New Roman" w:cs="Times New Roman"/>
          <w:b/>
          <w:bCs/>
          <w:sz w:val="22"/>
          <w:szCs w:val="22"/>
        </w:rPr>
        <w:t>7. </w:t>
      </w:r>
      <w:r>
        <w:rPr>
          <w:rFonts w:ascii="Times New Roman" w:hAnsi="Times New Roman" w:cs="Times New Roman"/>
          <w:sz w:val="22"/>
          <w:szCs w:val="22"/>
        </w:rPr>
        <w:t xml:space="preserve">The uncreation-recreation structure of Genesis 6–9, read as a deliberate literary inversion of Genesis 1, is noted by commentators across a wide theological spectrum. See Gordon Wenham, “The Coherence of the Flood Narrative,” </w:t>
      </w:r>
      <w:r>
        <w:rPr>
          <w:rFonts w:ascii="Times New Roman" w:hAnsi="Times New Roman" w:cs="Times New Roman"/>
          <w:i/>
          <w:iCs/>
          <w:sz w:val="22"/>
          <w:szCs w:val="22"/>
        </w:rPr>
        <w:t>Vetus Testamentum</w:t>
      </w:r>
      <w:r>
        <w:rPr>
          <w:rFonts w:ascii="Times New Roman" w:hAnsi="Times New Roman" w:cs="Times New Roman"/>
          <w:sz w:val="22"/>
          <w:szCs w:val="22"/>
        </w:rPr>
        <w:t xml:space="preserve"> 28, no. 3 (1978): 336–348; and Jon D. Levenson, </w:t>
      </w:r>
      <w:r>
        <w:rPr>
          <w:rFonts w:ascii="Times New Roman" w:hAnsi="Times New Roman" w:cs="Times New Roman"/>
          <w:i/>
          <w:iCs/>
          <w:sz w:val="22"/>
          <w:szCs w:val="22"/>
        </w:rPr>
        <w:t>Creation and the Persistence of Evil: The Jewish Drama of Divine Omnipotence</w:t>
      </w:r>
      <w:r>
        <w:rPr>
          <w:rFonts w:ascii="Times New Roman" w:hAnsi="Times New Roman" w:cs="Times New Roman"/>
          <w:sz w:val="22"/>
          <w:szCs w:val="22"/>
        </w:rPr>
        <w:t xml:space="preserve"> (Princeton: Princeton University Press, 1988), 14–25. Both analyses are conducted as contributions to biblical scholarship and are independent of any particular theological apologetic.</w:t>
      </w:r>
    </w:p>
    <w:p w14:paraId="285E041B" w14:textId="77777777" w:rsidR="002A63A2" w:rsidRPr="00850CC8" w:rsidRDefault="002A63A2" w:rsidP="00850CC8">
      <w:pPr>
        <w:spacing w:after="120" w:line="276" w:lineRule="auto"/>
        <w:ind w:left="360" w:hanging="360"/>
        <w:rPr>
          <w:rFonts w:ascii="Times New Roman" w:hAnsi="Times New Roman" w:cs="Times New Roman"/>
          <w:sz w:val="22"/>
          <w:szCs w:val="22"/>
        </w:rPr>
      </w:pPr>
      <w:r>
        <w:rPr>
          <w:rFonts w:ascii="Times New Roman" w:hAnsi="Times New Roman" w:cs="Times New Roman"/>
          <w:b/>
          <w:bCs/>
          <w:sz w:val="22"/>
          <w:szCs w:val="22"/>
        </w:rPr>
        <w:t>8. </w:t>
      </w:r>
      <w:r>
        <w:rPr>
          <w:rFonts w:ascii="Times New Roman" w:hAnsi="Times New Roman" w:cs="Times New Roman"/>
          <w:sz w:val="22"/>
          <w:szCs w:val="22"/>
        </w:rPr>
        <w:t xml:space="preserve">The covenant-treaty background of the imprecatory psalms is established in the broader scholarship on ancient Near Eastern treaty texts. See especially Delbert R. Hillers, </w:t>
      </w:r>
      <w:r>
        <w:rPr>
          <w:rFonts w:ascii="Times New Roman" w:hAnsi="Times New Roman" w:cs="Times New Roman"/>
          <w:i/>
          <w:iCs/>
          <w:sz w:val="22"/>
          <w:szCs w:val="22"/>
        </w:rPr>
        <w:t>Treaty-Curses and the Old Testament Prophets</w:t>
      </w:r>
      <w:r>
        <w:rPr>
          <w:rFonts w:ascii="Times New Roman" w:hAnsi="Times New Roman" w:cs="Times New Roman"/>
          <w:sz w:val="22"/>
          <w:szCs w:val="22"/>
        </w:rPr>
        <w:t xml:space="preserve"> (Rome: Pontifical Biblical Institute, 1964), and the discussion of imprecatory language within covenant relationship in Tremper Longman III and Daniel G. Reid, </w:t>
      </w:r>
      <w:r>
        <w:rPr>
          <w:rFonts w:ascii="Times New Roman" w:hAnsi="Times New Roman" w:cs="Times New Roman"/>
          <w:i/>
          <w:iCs/>
          <w:sz w:val="22"/>
          <w:szCs w:val="22"/>
        </w:rPr>
        <w:t>God Is a Warrior</w:t>
      </w:r>
      <w:r>
        <w:rPr>
          <w:rFonts w:ascii="Times New Roman" w:hAnsi="Times New Roman" w:cs="Times New Roman"/>
          <w:sz w:val="22"/>
          <w:szCs w:val="22"/>
        </w:rPr>
        <w:t>, Studies in Old Testament Biblical Theology (Grand Rapids: Zondervan, 1995), 169–185.</w:t>
      </w:r>
    </w:p>
    <w:p w14:paraId="39D04185" w14:textId="77777777" w:rsidR="002A63A2" w:rsidRPr="00850CC8" w:rsidRDefault="002A63A2" w:rsidP="00850CC8">
      <w:pPr>
        <w:spacing w:after="120" w:line="276" w:lineRule="auto"/>
        <w:ind w:left="360" w:hanging="360"/>
        <w:rPr>
          <w:rFonts w:ascii="Times New Roman" w:hAnsi="Times New Roman" w:cs="Times New Roman"/>
          <w:sz w:val="22"/>
          <w:szCs w:val="22"/>
        </w:rPr>
      </w:pPr>
      <w:r>
        <w:rPr>
          <w:rFonts w:ascii="Times New Roman" w:hAnsi="Times New Roman" w:cs="Times New Roman"/>
          <w:b/>
          <w:bCs/>
          <w:sz w:val="22"/>
          <w:szCs w:val="22"/>
        </w:rPr>
        <w:t>9. </w:t>
      </w:r>
      <w:r>
        <w:rPr>
          <w:rFonts w:ascii="Times New Roman" w:hAnsi="Times New Roman" w:cs="Times New Roman"/>
          <w:sz w:val="22"/>
          <w:szCs w:val="22"/>
        </w:rPr>
        <w:t xml:space="preserve">Kenton L. Sparks, </w:t>
      </w:r>
      <w:r>
        <w:rPr>
          <w:rFonts w:ascii="Times New Roman" w:hAnsi="Times New Roman" w:cs="Times New Roman"/>
          <w:i/>
          <w:iCs/>
          <w:sz w:val="22"/>
          <w:szCs w:val="22"/>
        </w:rPr>
        <w:t>God’s Word in Human Words: An Evangelical Appropriation of Critical Biblical Scholarship</w:t>
      </w:r>
      <w:r>
        <w:rPr>
          <w:rFonts w:ascii="Times New Roman" w:hAnsi="Times New Roman" w:cs="Times New Roman"/>
          <w:sz w:val="22"/>
          <w:szCs w:val="22"/>
        </w:rPr>
        <w:t xml:space="preserve"> (Grand Rapids: Baker Academic, 2008), 225–259. Sparks argues that acknowledging the human limitations reflected in the biblical text is not a concession to liberalism but a requirement of intellectual honesty, and that evangelical theology has the resources to make this acknowledgment without collapsing into the view that the Bible is simply a human document. For a response to Sparks from within the evangelical tradition that accepts his critique of naive inerrancy while pressing for stronger continuity with the tradition, see Kevin Vanhoozer, “Resurrecting the Text: The Debate over the Bible and Tradition,” </w:t>
      </w:r>
      <w:r>
        <w:rPr>
          <w:rFonts w:ascii="Times New Roman" w:hAnsi="Times New Roman" w:cs="Times New Roman"/>
          <w:i/>
          <w:iCs/>
          <w:sz w:val="22"/>
          <w:szCs w:val="22"/>
        </w:rPr>
        <w:t>Themelios</w:t>
      </w:r>
      <w:r>
        <w:rPr>
          <w:rFonts w:ascii="Times New Roman" w:hAnsi="Times New Roman" w:cs="Times New Roman"/>
          <w:sz w:val="22"/>
          <w:szCs w:val="22"/>
        </w:rPr>
        <w:t xml:space="preserve"> 35, no. 1 (2010): 6–26.</w:t>
      </w:r>
    </w:p>
    <w:p w14:paraId="056E70A0" w14:textId="77777777" w:rsidR="002A63A2" w:rsidRPr="00850CC8" w:rsidRDefault="002A63A2" w:rsidP="00850CC8">
      <w:pPr>
        <w:spacing w:after="120" w:line="276" w:lineRule="auto"/>
        <w:ind w:left="360" w:hanging="360"/>
        <w:rPr>
          <w:rFonts w:ascii="Times New Roman" w:hAnsi="Times New Roman" w:cs="Times New Roman"/>
          <w:sz w:val="22"/>
          <w:szCs w:val="22"/>
        </w:rPr>
      </w:pPr>
      <w:r>
        <w:rPr>
          <w:rFonts w:ascii="Times New Roman" w:hAnsi="Times New Roman" w:cs="Times New Roman"/>
          <w:b/>
          <w:bCs/>
          <w:sz w:val="22"/>
          <w:szCs w:val="22"/>
        </w:rPr>
        <w:t>10. </w:t>
      </w:r>
      <w:r>
        <w:rPr>
          <w:rFonts w:ascii="Times New Roman" w:hAnsi="Times New Roman" w:cs="Times New Roman"/>
          <w:sz w:val="22"/>
          <w:szCs w:val="22"/>
        </w:rPr>
        <w:t xml:space="preserve">W. D. Ross, </w:t>
      </w:r>
      <w:r>
        <w:rPr>
          <w:rFonts w:ascii="Times New Roman" w:hAnsi="Times New Roman" w:cs="Times New Roman"/>
          <w:i/>
          <w:iCs/>
          <w:sz w:val="22"/>
          <w:szCs w:val="22"/>
        </w:rPr>
        <w:t>The Right and the Good</w:t>
      </w:r>
      <w:r>
        <w:rPr>
          <w:rFonts w:ascii="Times New Roman" w:hAnsi="Times New Roman" w:cs="Times New Roman"/>
          <w:sz w:val="22"/>
          <w:szCs w:val="22"/>
        </w:rPr>
        <w:t xml:space="preserve"> (Oxford: Clarendon Press, 1930), 28–30. Ross’s candor about the inability of theory to resolve conflicts between prima facie duties is one of the most philosophically honest features of his account and one of the reasons his pluralism remains influential despite the absence of a meta-principle for adjudication. For a contemporary defense of the Rossian position that extends it in a particularist direction, see Jonathan Dancy, </w:t>
      </w:r>
      <w:r>
        <w:rPr>
          <w:rFonts w:ascii="Times New Roman" w:hAnsi="Times New Roman" w:cs="Times New Roman"/>
          <w:i/>
          <w:iCs/>
          <w:sz w:val="22"/>
          <w:szCs w:val="22"/>
        </w:rPr>
        <w:t>Ethics Without Principles</w:t>
      </w:r>
      <w:r>
        <w:rPr>
          <w:rFonts w:ascii="Times New Roman" w:hAnsi="Times New Roman" w:cs="Times New Roman"/>
          <w:sz w:val="22"/>
          <w:szCs w:val="22"/>
        </w:rPr>
        <w:t xml:space="preserve"> (Oxford: Oxford University Press, 2004).</w:t>
      </w:r>
    </w:p>
    <w:p w14:paraId="78E34D6A" w14:textId="77777777" w:rsidR="002A63A2" w:rsidRPr="00850CC8" w:rsidRDefault="002A63A2" w:rsidP="00850CC8">
      <w:pPr>
        <w:spacing w:after="120" w:line="276" w:lineRule="auto"/>
        <w:ind w:left="360" w:hanging="360"/>
        <w:rPr>
          <w:rFonts w:ascii="Times New Roman" w:hAnsi="Times New Roman" w:cs="Times New Roman"/>
          <w:sz w:val="22"/>
          <w:szCs w:val="22"/>
        </w:rPr>
      </w:pPr>
      <w:r>
        <w:rPr>
          <w:rFonts w:ascii="Times New Roman" w:hAnsi="Times New Roman" w:cs="Times New Roman"/>
          <w:b/>
          <w:bCs/>
          <w:sz w:val="22"/>
          <w:szCs w:val="22"/>
        </w:rPr>
        <w:t>11. </w:t>
      </w:r>
      <w:r>
        <w:rPr>
          <w:rFonts w:ascii="Times New Roman" w:hAnsi="Times New Roman" w:cs="Times New Roman"/>
          <w:sz w:val="22"/>
          <w:szCs w:val="22"/>
        </w:rPr>
        <w:t xml:space="preserve">Aristotle’s account of </w:t>
      </w:r>
      <w:r>
        <w:rPr>
          <w:rFonts w:ascii="Times New Roman" w:hAnsi="Times New Roman" w:cs="Times New Roman"/>
          <w:i/>
          <w:iCs/>
          <w:sz w:val="22"/>
          <w:szCs w:val="22"/>
        </w:rPr>
        <w:t>phronēsis</w:t>
      </w:r>
      <w:r>
        <w:rPr>
          <w:rFonts w:ascii="Times New Roman" w:hAnsi="Times New Roman" w:cs="Times New Roman"/>
          <w:sz w:val="22"/>
          <w:szCs w:val="22"/>
        </w:rPr>
        <w:t xml:space="preserve"> as a perceptual capacity developed through habituation is developed in </w:t>
      </w:r>
      <w:r>
        <w:rPr>
          <w:rFonts w:ascii="Times New Roman" w:hAnsi="Times New Roman" w:cs="Times New Roman"/>
          <w:i/>
          <w:iCs/>
          <w:sz w:val="22"/>
          <w:szCs w:val="22"/>
        </w:rPr>
        <w:t>Nicomachean Ethics</w:t>
      </w:r>
      <w:r>
        <w:rPr>
          <w:rFonts w:ascii="Times New Roman" w:hAnsi="Times New Roman" w:cs="Times New Roman"/>
          <w:sz w:val="22"/>
          <w:szCs w:val="22"/>
        </w:rPr>
        <w:t xml:space="preserve"> VI.5–7. The most useful contemporary development of this account for the purposes of the present argument is in John McDowell, “Virtue and Reason,” </w:t>
      </w:r>
      <w:r>
        <w:rPr>
          <w:rFonts w:ascii="Times New Roman" w:hAnsi="Times New Roman" w:cs="Times New Roman"/>
          <w:i/>
          <w:iCs/>
          <w:sz w:val="22"/>
          <w:szCs w:val="22"/>
        </w:rPr>
        <w:t>The Monist</w:t>
      </w:r>
      <w:r>
        <w:rPr>
          <w:rFonts w:ascii="Times New Roman" w:hAnsi="Times New Roman" w:cs="Times New Roman"/>
          <w:sz w:val="22"/>
          <w:szCs w:val="22"/>
        </w:rPr>
        <w:t xml:space="preserve"> 62, no. 3 (1979): 331–350, and in Rosalind Hursthouse, </w:t>
      </w:r>
      <w:r>
        <w:rPr>
          <w:rFonts w:ascii="Times New Roman" w:hAnsi="Times New Roman" w:cs="Times New Roman"/>
          <w:i/>
          <w:iCs/>
          <w:sz w:val="22"/>
          <w:szCs w:val="22"/>
        </w:rPr>
        <w:t>On Virtue Ethics</w:t>
      </w:r>
      <w:r>
        <w:rPr>
          <w:rFonts w:ascii="Times New Roman" w:hAnsi="Times New Roman" w:cs="Times New Roman"/>
          <w:sz w:val="22"/>
          <w:szCs w:val="22"/>
        </w:rPr>
        <w:t xml:space="preserve"> (Oxford: Oxford University Press, 1999), 55–87.</w:t>
      </w:r>
    </w:p>
    <w:p w14:paraId="431DCA8D" w14:textId="77777777" w:rsidR="002A63A2" w:rsidRPr="00850CC8" w:rsidRDefault="002A63A2" w:rsidP="00850CC8">
      <w:pPr>
        <w:spacing w:after="120" w:line="276" w:lineRule="auto"/>
        <w:ind w:left="360" w:hanging="360"/>
        <w:rPr>
          <w:rFonts w:ascii="Times New Roman" w:hAnsi="Times New Roman" w:cs="Times New Roman"/>
          <w:sz w:val="22"/>
          <w:szCs w:val="22"/>
        </w:rPr>
      </w:pPr>
      <w:r>
        <w:rPr>
          <w:rFonts w:ascii="Times New Roman" w:hAnsi="Times New Roman" w:cs="Times New Roman"/>
          <w:b/>
          <w:bCs/>
          <w:sz w:val="22"/>
          <w:szCs w:val="22"/>
        </w:rPr>
        <w:lastRenderedPageBreak/>
        <w:t>12. </w:t>
      </w:r>
      <w:r>
        <w:rPr>
          <w:rFonts w:ascii="Times New Roman" w:hAnsi="Times New Roman" w:cs="Times New Roman"/>
          <w:sz w:val="22"/>
          <w:szCs w:val="22"/>
        </w:rPr>
        <w:t xml:space="preserve">John McDowell, “Moral Realism and the Space of Reasons,” </w:t>
      </w:r>
      <w:r>
        <w:rPr>
          <w:rFonts w:ascii="Times New Roman" w:hAnsi="Times New Roman" w:cs="Times New Roman"/>
          <w:i/>
          <w:iCs/>
          <w:sz w:val="22"/>
          <w:szCs w:val="22"/>
        </w:rPr>
        <w:t>Synthese</w:t>
      </w:r>
      <w:r>
        <w:rPr>
          <w:rFonts w:ascii="Times New Roman" w:hAnsi="Times New Roman" w:cs="Times New Roman"/>
          <w:sz w:val="22"/>
          <w:szCs w:val="22"/>
        </w:rPr>
        <w:t xml:space="preserve"> 55, no. 2 (1983): 141–158. McDowell’s argument that the demand for a decision procedure in ethics reflects a misconception of the nature of moral knowledge is developed further in his “Non-Cognitivism and Rule-Following,” in </w:t>
      </w:r>
      <w:r>
        <w:rPr>
          <w:rFonts w:ascii="Times New Roman" w:hAnsi="Times New Roman" w:cs="Times New Roman"/>
          <w:i/>
          <w:iCs/>
          <w:sz w:val="22"/>
          <w:szCs w:val="22"/>
        </w:rPr>
        <w:t>Wittgenstein: To Follow a Rule</w:t>
      </w:r>
      <w:r>
        <w:rPr>
          <w:rFonts w:ascii="Times New Roman" w:hAnsi="Times New Roman" w:cs="Times New Roman"/>
          <w:sz w:val="22"/>
          <w:szCs w:val="22"/>
        </w:rPr>
        <w:t xml:space="preserve">, ed. Steven Holtzman and Christopher Leich (London: Routledge, 1981), 141–162. For Iris Murdoch’s complementary account of moral vision as attentive love, see </w:t>
      </w:r>
      <w:r>
        <w:rPr>
          <w:rFonts w:ascii="Times New Roman" w:hAnsi="Times New Roman" w:cs="Times New Roman"/>
          <w:i/>
          <w:iCs/>
          <w:sz w:val="22"/>
          <w:szCs w:val="22"/>
        </w:rPr>
        <w:t>The Sovereignty of Good</w:t>
      </w:r>
      <w:r>
        <w:rPr>
          <w:rFonts w:ascii="Times New Roman" w:hAnsi="Times New Roman" w:cs="Times New Roman"/>
          <w:sz w:val="22"/>
          <w:szCs w:val="22"/>
        </w:rPr>
        <w:t xml:space="preserve"> (London: Routledge, 1970), 37–53, cited in the Introduction above.</w:t>
      </w:r>
    </w:p>
    <w:p w14:paraId="68F0648D" w14:textId="77777777" w:rsidR="002A63A2" w:rsidRPr="00850CC8" w:rsidRDefault="002A63A2" w:rsidP="00850CC8">
      <w:pPr>
        <w:spacing w:after="120" w:line="276" w:lineRule="auto"/>
        <w:ind w:left="360" w:hanging="360"/>
        <w:rPr>
          <w:rFonts w:ascii="Times New Roman" w:hAnsi="Times New Roman" w:cs="Times New Roman"/>
          <w:sz w:val="22"/>
          <w:szCs w:val="22"/>
        </w:rPr>
      </w:pPr>
      <w:r>
        <w:rPr>
          <w:rFonts w:ascii="Times New Roman" w:hAnsi="Times New Roman" w:cs="Times New Roman"/>
          <w:b/>
          <w:bCs/>
          <w:sz w:val="22"/>
          <w:szCs w:val="22"/>
        </w:rPr>
        <w:t>13. </w:t>
      </w:r>
      <w:r>
        <w:rPr>
          <w:rFonts w:ascii="Times New Roman" w:hAnsi="Times New Roman" w:cs="Times New Roman"/>
          <w:sz w:val="22"/>
          <w:szCs w:val="22"/>
        </w:rPr>
        <w:t xml:space="preserve">Marilyn McCord Adams, </w:t>
      </w:r>
      <w:r>
        <w:rPr>
          <w:rFonts w:ascii="Times New Roman" w:hAnsi="Times New Roman" w:cs="Times New Roman"/>
          <w:i/>
          <w:iCs/>
          <w:sz w:val="22"/>
          <w:szCs w:val="22"/>
        </w:rPr>
        <w:t>Horrendous Evils and the Goodness of God</w:t>
      </w:r>
      <w:r>
        <w:rPr>
          <w:rFonts w:ascii="Times New Roman" w:hAnsi="Times New Roman" w:cs="Times New Roman"/>
          <w:sz w:val="22"/>
          <w:szCs w:val="22"/>
        </w:rPr>
        <w:t xml:space="preserve"> (Ithaca: Cornell University Press, 1999), 26–53. Adams defines horrendous evils as “evils the participation in which (whether as victim or perpetrator) constitutes prima facie reason to doubt whether the participant’s life could (given their inclusion) be a great good to them on the whole.” Her argument that an adequate theodicy must involve God’s personal engagement with the sufferer rather than merely a structural explanation of evil’s place in the divine plan is directly relevant to the argument of this chapter. The framework developed here is broadly sympathetic to her conclusion while locating the personal engagement specifically in the cross and resurrection.</w:t>
      </w:r>
    </w:p>
    <w:p w14:paraId="694E738D" w14:textId="77777777" w:rsidR="002A63A2" w:rsidRPr="00850CC8" w:rsidRDefault="002A63A2" w:rsidP="00850CC8">
      <w:pPr>
        <w:spacing w:after="120" w:line="276" w:lineRule="auto"/>
        <w:ind w:left="360" w:hanging="360"/>
        <w:rPr>
          <w:rFonts w:ascii="Times New Roman" w:hAnsi="Times New Roman" w:cs="Times New Roman"/>
          <w:sz w:val="22"/>
          <w:szCs w:val="22"/>
        </w:rPr>
      </w:pPr>
      <w:r>
        <w:rPr>
          <w:rFonts w:ascii="Times New Roman" w:hAnsi="Times New Roman" w:cs="Times New Roman"/>
          <w:b/>
          <w:bCs/>
          <w:sz w:val="22"/>
          <w:szCs w:val="22"/>
        </w:rPr>
        <w:t>14. </w:t>
      </w:r>
      <w:r>
        <w:rPr>
          <w:rFonts w:ascii="Times New Roman" w:hAnsi="Times New Roman" w:cs="Times New Roman"/>
          <w:sz w:val="22"/>
          <w:szCs w:val="22"/>
        </w:rPr>
        <w:t xml:space="preserve">Bernard Williams, “Moral Residues,” in </w:t>
      </w:r>
      <w:r>
        <w:rPr>
          <w:rFonts w:ascii="Times New Roman" w:hAnsi="Times New Roman" w:cs="Times New Roman"/>
          <w:i/>
          <w:iCs/>
          <w:sz w:val="22"/>
          <w:szCs w:val="22"/>
        </w:rPr>
        <w:t>Moral Luck: Philosophical Papers 1973–1980</w:t>
      </w:r>
      <w:r>
        <w:rPr>
          <w:rFonts w:ascii="Times New Roman" w:hAnsi="Times New Roman" w:cs="Times New Roman"/>
          <w:sz w:val="22"/>
          <w:szCs w:val="22"/>
        </w:rPr>
        <w:t xml:space="preserve"> (Cambridge: Cambridge University Press, 1981), 27–39. Williams’s argument that moral remainder is a real feature of moral experience, not an artifact of confused thinking, is one of the most important contributions to the phenomenology of moral life in the twentieth century. It has direct implications for how the hard texts should be read: the appropriate response to a defensible account of divine judgment is not the elimination of grief but its proper orientation, grief directed at God rather than at the framework.</w:t>
      </w:r>
    </w:p>
    <w:p w14:paraId="01DBA245" w14:textId="291367E5" w:rsidR="003C4F15" w:rsidRPr="00850CC8" w:rsidRDefault="003C4F15" w:rsidP="00850CC8">
      <w:pPr>
        <w:spacing w:line="276" w:lineRule="auto"/>
        <w:rPr>
          <w:rFonts w:ascii="Times New Roman" w:hAnsi="Times New Roman" w:cs="Times New Roman"/>
          <w:sz w:val="22"/>
          <w:szCs w:val="22"/>
        </w:rPr>
      </w:pPr>
      <w:r>
        <w:rPr>
          <w:rFonts w:ascii="Times New Roman" w:hAnsi="Times New Roman" w:cs="Times New Roman"/>
          <w:sz w:val="22"/>
          <w:szCs w:val="22"/>
        </w:rPr>
        <w:br w:type="page"/>
      </w:r>
    </w:p>
    <w:p w14:paraId="65CB7A3E" w14:textId="77777777" w:rsidR="003C4F15" w:rsidRPr="00850CC8" w:rsidRDefault="003C4F15" w:rsidP="00850CC8">
      <w:pPr>
        <w:pStyle w:val="Heading1"/>
        <w:spacing w:line="276" w:lineRule="auto"/>
        <w:jc w:val="center"/>
        <w:rPr>
          <w:rFonts w:ascii="Times New Roman" w:hAnsi="Times New Roman" w:cs="Times New Roman"/>
          <w:color w:val="000000" w:themeColor="text1"/>
          <w:sz w:val="22"/>
          <w:szCs w:val="22"/>
        </w:rPr>
      </w:pPr>
      <w:bookmarkStart w:id="50" w:name="_Toc228335856"/>
      <w:r>
        <w:rPr>
          <w:rFonts w:ascii="Times New Roman" w:hAnsi="Times New Roman" w:cs="Times New Roman"/>
          <w:color w:val="000000" w:themeColor="text1"/>
          <w:sz w:val="22"/>
          <w:szCs w:val="22"/>
        </w:rPr>
        <w:lastRenderedPageBreak/>
        <w:t>Chapter Twelve</w:t>
        <w:br/>
        <w:t>Two Directions of One Love</w:t>
      </w:r>
      <w:bookmarkEnd w:id="50"/>
    </w:p>
    <w:p w14:paraId="4A1D8F2A" w14:textId="77777777" w:rsidR="003C4F15" w:rsidRPr="00850CC8" w:rsidRDefault="003C4F15" w:rsidP="00850CC8">
      <w:pPr>
        <w:pStyle w:val="Heading1"/>
        <w:spacing w:line="276" w:lineRule="auto"/>
        <w:jc w:val="center"/>
        <w:rPr>
          <w:rFonts w:ascii="Times New Roman" w:hAnsi="Times New Roman" w:cs="Times New Roman"/>
          <w:color w:val="000000" w:themeColor="text1"/>
          <w:sz w:val="22"/>
          <w:szCs w:val="22"/>
        </w:rPr>
      </w:pPr>
    </w:p>
    <w:p w14:paraId="6B0A14A6" w14:textId="77777777" w:rsidR="003C4F15" w:rsidRPr="00850CC8" w:rsidRDefault="003C4F15" w:rsidP="00850CC8">
      <w:pPr>
        <w:spacing w:line="276" w:lineRule="auto"/>
        <w:jc w:val="both"/>
        <w:rPr>
          <w:rFonts w:ascii="Times New Roman" w:hAnsi="Times New Roman" w:cs="Times New Roman"/>
          <w:sz w:val="22"/>
          <w:szCs w:val="22"/>
        </w:rPr>
      </w:pPr>
      <w:r>
        <w:rPr>
          <w:rFonts w:ascii="Times New Roman" w:hAnsi="Times New Roman" w:cs="Times New Roman"/>
          <w:sz w:val="22"/>
          <w:szCs w:val="22"/>
        </w:rPr>
        <w:t>The debate between retributive and restorative accounts of justice is usually presented as a conflict between two incompatible moral visions. The retributive account holds that justice requires that wrongdoing be met with proportionate punishment: the offender owes a debt to the moral order, and that debt must be paid. The restorative account holds that justice requires the repair of broken relationships and the reintegration of offenders into the communities they have harmed: the goal is not punishment but healing. Each account has serious defenders and a long intellectual history. Each has been applied to criminal justice systems, to international conflict, to ecclesial discipline, and to the moral life more broadly. And each, in the standard presentation, treats the other as a rival.</w:t>
      </w:r>
    </w:p>
    <w:p w14:paraId="7CC70EB3" w14:textId="77777777" w:rsidR="003C4F15" w:rsidRPr="00850CC8" w:rsidRDefault="003C4F15" w:rsidP="00850CC8">
      <w:pPr>
        <w:spacing w:line="276" w:lineRule="auto"/>
        <w:rPr>
          <w:rFonts w:ascii="Times New Roman" w:hAnsi="Times New Roman" w:cs="Times New Roman"/>
          <w:sz w:val="22"/>
          <w:szCs w:val="22"/>
        </w:rPr>
      </w:pPr>
    </w:p>
    <w:p w14:paraId="7B8BE687" w14:textId="77777777" w:rsidR="003C4F15" w:rsidRPr="00850CC8" w:rsidRDefault="003C4F15"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This chapter argues that the rivalry is, at its root, a mistake. Not because both accounts are wrong, but because both are right about something real, and the something real they are each right about is a dimension of a single moral reality that neither account, taken alone, can fully describe. When the relational framework developed in this book is brought to bear on the question of justice, it becomes possible to see retributive and restorative justice not as competing theories but as two directions of the same reflexive love: one looking backward at what the broken relation has cost, the other looking forward at what the restored relation could be. Separated, each becomes a distortion. Together, held in the tension that the reflexive structure of love requires, they constitute something closer to the full account of what justice actually demands.</w:t>
      </w:r>
    </w:p>
    <w:p w14:paraId="4117D2D6" w14:textId="77777777" w:rsidR="003C4F15" w:rsidRPr="00850CC8" w:rsidRDefault="003C4F15" w:rsidP="00850CC8">
      <w:pPr>
        <w:spacing w:line="276" w:lineRule="auto"/>
        <w:rPr>
          <w:rFonts w:ascii="Times New Roman" w:hAnsi="Times New Roman" w:cs="Times New Roman"/>
          <w:sz w:val="22"/>
          <w:szCs w:val="22"/>
        </w:rPr>
      </w:pPr>
    </w:p>
    <w:p w14:paraId="4A003714" w14:textId="77777777" w:rsidR="003C4F15" w:rsidRPr="00850CC8" w:rsidRDefault="003C4F15"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The argument proceeds in stages. It begins by examining what each account actually perceives, and what each leaves out when it is pressed beyond its proper scope. It then develops the constructive claim: that the reflexive structure of the love commandment, the same structure identified in Chapters Two and Five as the pattern of the Trinitarian life, provides the ground from which both dimensions of justice flow and within which both find their proper place. It concludes by tracing what this integrated account means for the moral life of persons who have been wronged, who have wronged others, and who live in communities where both are true simultaneously.</w:t>
      </w:r>
    </w:p>
    <w:p w14:paraId="054DE438" w14:textId="77777777" w:rsidR="003C4F15" w:rsidRPr="00850CC8" w:rsidRDefault="003C4F15" w:rsidP="00850CC8">
      <w:pPr>
        <w:spacing w:line="276" w:lineRule="auto"/>
        <w:rPr>
          <w:rFonts w:ascii="Times New Roman" w:hAnsi="Times New Roman" w:cs="Times New Roman"/>
          <w:sz w:val="22"/>
          <w:szCs w:val="22"/>
        </w:rPr>
      </w:pPr>
    </w:p>
    <w:p w14:paraId="1838E5AE" w14:textId="77777777" w:rsidR="003C4F15" w:rsidRPr="00850CC8" w:rsidRDefault="003C4F15" w:rsidP="00850CC8">
      <w:pPr>
        <w:spacing w:before="480" w:after="240" w:line="276" w:lineRule="auto"/>
        <w:rPr>
          <w:rFonts w:ascii="Times New Roman" w:hAnsi="Times New Roman" w:cs="Times New Roman"/>
          <w:sz w:val="22"/>
          <w:szCs w:val="22"/>
        </w:rPr>
      </w:pPr>
      <w:r>
        <w:rPr>
          <w:rFonts w:ascii="Times New Roman" w:hAnsi="Times New Roman" w:cs="Times New Roman"/>
          <w:b/>
          <w:bCs/>
          <w:sz w:val="22"/>
          <w:szCs w:val="22"/>
        </w:rPr>
        <w:t>What Retributive Justice Perceives</w:t>
      </w:r>
    </w:p>
    <w:p w14:paraId="59CFF390" w14:textId="77777777" w:rsidR="003C4F15" w:rsidRPr="00850CC8" w:rsidRDefault="003C4F15" w:rsidP="00850CC8">
      <w:pPr>
        <w:spacing w:line="276" w:lineRule="auto"/>
        <w:jc w:val="both"/>
        <w:rPr>
          <w:rFonts w:ascii="Times New Roman" w:hAnsi="Times New Roman" w:cs="Times New Roman"/>
          <w:sz w:val="22"/>
          <w:szCs w:val="22"/>
        </w:rPr>
      </w:pPr>
      <w:r>
        <w:rPr>
          <w:rFonts w:ascii="Times New Roman" w:hAnsi="Times New Roman" w:cs="Times New Roman"/>
          <w:sz w:val="22"/>
          <w:szCs w:val="22"/>
        </w:rPr>
        <w:t>The retributive account of justice has a long and serious intellectual history, and it has captured something that its critics sometimes underestimate. The core claim is that wrongdoing creates a moral imbalance that demands to be corrected: the offender has taken something, whether property, dignity, safety, or life, to which they had no right, and justice requires that this taking be answered. Punishment is not primarily about deterrence or rehabilitation, though it may serve both purposes. It is about the intrinsic requirement that wrongs be met with a proportionate response.</w:t>
      </w:r>
    </w:p>
    <w:p w14:paraId="19BFD3BA" w14:textId="77777777" w:rsidR="003C4F15" w:rsidRPr="00850CC8" w:rsidRDefault="003C4F15" w:rsidP="00850CC8">
      <w:pPr>
        <w:spacing w:line="276" w:lineRule="auto"/>
        <w:rPr>
          <w:rFonts w:ascii="Times New Roman" w:hAnsi="Times New Roman" w:cs="Times New Roman"/>
          <w:sz w:val="22"/>
          <w:szCs w:val="22"/>
        </w:rPr>
      </w:pPr>
    </w:p>
    <w:p w14:paraId="6F2A3613" w14:textId="77777777" w:rsidR="003C4F15" w:rsidRPr="00850CC8" w:rsidRDefault="003C4F15"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 xml:space="preserve">Kant’s formulation of this intuition is the most rigorous in the tradition. His argument is that the failure to punish a wrongdoer does not merely leave the victim without redress; it constitutes a kind of </w:t>
        <w:lastRenderedPageBreak/>
        <w:t>complicity with the wrong itself, an implicit endorsement of the offender’s act as permissible. “If he has committed murder he must die, because there is no substitute that will satisfy the requirements of legal justice.”</w:t>
      </w:r>
      <w:r>
        <w:rPr>
          <w:rFonts w:ascii="Times New Roman" w:hAnsi="Times New Roman" w:cs="Times New Roman"/>
          <w:sz w:val="22"/>
          <w:szCs w:val="22"/>
          <w:vertAlign w:val="superscript"/>
        </w:rPr>
        <w:t>1</w:t>
      </w:r>
      <w:r>
        <w:rPr>
          <w:rFonts w:ascii="Times New Roman" w:hAnsi="Times New Roman" w:cs="Times New Roman"/>
          <w:sz w:val="22"/>
          <w:szCs w:val="22"/>
        </w:rPr>
        <w:t xml:space="preserve"> What Kant perceived, and perceived with great precision, is that justice has a retrospective dimension that cannot be collapsed into future-oriented calculations about consequences. The wrong that was done is a fact about the past that cannot be undone by any amount of future good. It demands a response that takes it seriously as what it was.</w:t>
      </w:r>
    </w:p>
    <w:p w14:paraId="416956E3" w14:textId="77777777" w:rsidR="003C4F15" w:rsidRPr="00850CC8" w:rsidRDefault="003C4F15" w:rsidP="00850CC8">
      <w:pPr>
        <w:spacing w:line="276" w:lineRule="auto"/>
        <w:rPr>
          <w:rFonts w:ascii="Times New Roman" w:hAnsi="Times New Roman" w:cs="Times New Roman"/>
          <w:sz w:val="22"/>
          <w:szCs w:val="22"/>
        </w:rPr>
      </w:pPr>
    </w:p>
    <w:p w14:paraId="0137102B" w14:textId="77777777" w:rsidR="003C4F15" w:rsidRPr="00850CC8" w:rsidRDefault="003C4F15"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The victim’s experience confirms what the philosophical account describes. When someone who has been seriously wronged encounters a justice system concerned primarily with rehabilitation or community repair, and that concern appears to bypass the simple acknowledgment that what was done to them was wrong and deserved to be met with something proportionate, they do not typically feel that justice has been served. They feel that their suffering has been instrumentalized, used as an occasion for the moral improvement of the person who caused it rather than taken seriously in its own right. This feeling is not irrational. It points to something real about what justice requires.</w:t>
      </w:r>
    </w:p>
    <w:p w14:paraId="387402F6" w14:textId="77777777" w:rsidR="003C4F15" w:rsidRPr="00850CC8" w:rsidRDefault="003C4F15" w:rsidP="00850CC8">
      <w:pPr>
        <w:spacing w:line="276" w:lineRule="auto"/>
        <w:rPr>
          <w:rFonts w:ascii="Times New Roman" w:hAnsi="Times New Roman" w:cs="Times New Roman"/>
          <w:sz w:val="22"/>
          <w:szCs w:val="22"/>
        </w:rPr>
      </w:pPr>
    </w:p>
    <w:p w14:paraId="55A259D4" w14:textId="77777777" w:rsidR="003C4F15" w:rsidRPr="00850CC8" w:rsidRDefault="003C4F15"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 xml:space="preserve">Nicholas Wolterstorff has pressed this point with characteristic precision. His argument in </w:t>
      </w:r>
      <w:r>
        <w:rPr>
          <w:rFonts w:ascii="Times New Roman" w:hAnsi="Times New Roman" w:cs="Times New Roman"/>
          <w:i/>
          <w:iCs/>
          <w:sz w:val="22"/>
          <w:szCs w:val="22"/>
        </w:rPr>
        <w:t>Justice: Rights and Wrongs</w:t>
      </w:r>
      <w:r>
        <w:rPr>
          <w:rFonts w:ascii="Times New Roman" w:hAnsi="Times New Roman" w:cs="Times New Roman"/>
          <w:sz w:val="22"/>
          <w:szCs w:val="22"/>
        </w:rPr>
        <w:t xml:space="preserve"> is that rights are grounded in the worth of persons, and that a failure to respond proportionately to violations of those rights is a failure to take seriously the worth of the person whose rights were violated.</w:t>
      </w:r>
      <w:r>
        <w:rPr>
          <w:rFonts w:ascii="Times New Roman" w:hAnsi="Times New Roman" w:cs="Times New Roman"/>
          <w:sz w:val="22"/>
          <w:szCs w:val="22"/>
          <w:vertAlign w:val="superscript"/>
        </w:rPr>
        <w:t>2</w:t>
      </w:r>
      <w:r>
        <w:rPr>
          <w:rFonts w:ascii="Times New Roman" w:hAnsi="Times New Roman" w:cs="Times New Roman"/>
          <w:sz w:val="22"/>
          <w:szCs w:val="22"/>
        </w:rPr>
        <w:t xml:space="preserve"> The retributive demand is, in this sense, a demand on behalf of the victim: it insists that what was done to them mattered, that it was not a neutral event to be managed for optimal future outcomes, that the person who did it owes them something that rehabilitation programs and community circles cannot by themselves supply.</w:t>
      </w:r>
    </w:p>
    <w:p w14:paraId="505D03BD" w14:textId="77777777" w:rsidR="003C4F15" w:rsidRPr="00850CC8" w:rsidRDefault="003C4F15" w:rsidP="00850CC8">
      <w:pPr>
        <w:spacing w:line="276" w:lineRule="auto"/>
        <w:rPr>
          <w:rFonts w:ascii="Times New Roman" w:hAnsi="Times New Roman" w:cs="Times New Roman"/>
          <w:sz w:val="22"/>
          <w:szCs w:val="22"/>
        </w:rPr>
      </w:pPr>
    </w:p>
    <w:p w14:paraId="1B654ED1" w14:textId="77777777" w:rsidR="003C4F15" w:rsidRPr="00850CC8" w:rsidRDefault="003C4F15" w:rsidP="00850CC8">
      <w:pPr>
        <w:spacing w:before="480" w:after="240" w:line="276" w:lineRule="auto"/>
        <w:rPr>
          <w:rFonts w:ascii="Times New Roman" w:hAnsi="Times New Roman" w:cs="Times New Roman"/>
          <w:sz w:val="22"/>
          <w:szCs w:val="22"/>
        </w:rPr>
      </w:pPr>
      <w:r>
        <w:rPr>
          <w:rFonts w:ascii="Times New Roman" w:hAnsi="Times New Roman" w:cs="Times New Roman"/>
          <w:b/>
          <w:bCs/>
          <w:sz w:val="22"/>
          <w:szCs w:val="22"/>
        </w:rPr>
        <w:t>What Restorative Justice Perceives</w:t>
      </w:r>
    </w:p>
    <w:p w14:paraId="188D63A5" w14:textId="77777777" w:rsidR="003C4F15" w:rsidRPr="00850CC8" w:rsidRDefault="003C4F15" w:rsidP="00850CC8">
      <w:pPr>
        <w:spacing w:line="276" w:lineRule="auto"/>
        <w:jc w:val="both"/>
        <w:rPr>
          <w:rFonts w:ascii="Times New Roman" w:hAnsi="Times New Roman" w:cs="Times New Roman"/>
          <w:sz w:val="22"/>
          <w:szCs w:val="22"/>
        </w:rPr>
      </w:pPr>
      <w:r>
        <w:rPr>
          <w:rFonts w:ascii="Times New Roman" w:hAnsi="Times New Roman" w:cs="Times New Roman"/>
          <w:sz w:val="22"/>
          <w:szCs w:val="22"/>
        </w:rPr>
        <w:t>The restorative account of justice has captured something equally important, and something that the retributive account, when it hardens into a purely backward-looking theory of punishment, tends to lose sight of.</w:t>
      </w:r>
    </w:p>
    <w:p w14:paraId="033481DE" w14:textId="77777777" w:rsidR="003C4F15" w:rsidRPr="00850CC8" w:rsidRDefault="003C4F15" w:rsidP="00850CC8">
      <w:pPr>
        <w:spacing w:line="276" w:lineRule="auto"/>
        <w:rPr>
          <w:rFonts w:ascii="Times New Roman" w:hAnsi="Times New Roman" w:cs="Times New Roman"/>
          <w:sz w:val="22"/>
          <w:szCs w:val="22"/>
        </w:rPr>
      </w:pPr>
    </w:p>
    <w:p w14:paraId="1066DBB9" w14:textId="77777777" w:rsidR="003C4F15" w:rsidRPr="00850CC8" w:rsidRDefault="003C4F15"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The core insight of restorative justice is that wrongdoing is fundamentally a relational event. Crime is not primarily a violation of an abstract legal code; it is an act that damages real relationships between real people and within real communities. The appropriate response to such an act is therefore not primarily the imposition of a proportionate penalty but the attempt to repair what has been broken: to acknowledge the harm done, to hear the victim’s account of it, to hold the offender accountable in a way that is directed toward the reconstitution of the relationship rather than simply the satisfaction of an abstract principle.</w:t>
      </w:r>
    </w:p>
    <w:p w14:paraId="5507F2EB" w14:textId="77777777" w:rsidR="003C4F15" w:rsidRPr="00850CC8" w:rsidRDefault="003C4F15" w:rsidP="00850CC8">
      <w:pPr>
        <w:spacing w:line="276" w:lineRule="auto"/>
        <w:rPr>
          <w:rFonts w:ascii="Times New Roman" w:hAnsi="Times New Roman" w:cs="Times New Roman"/>
          <w:sz w:val="22"/>
          <w:szCs w:val="22"/>
        </w:rPr>
      </w:pPr>
    </w:p>
    <w:p w14:paraId="2CFF0062" w14:textId="77777777" w:rsidR="003C4F15" w:rsidRPr="00850CC8" w:rsidRDefault="003C4F15"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Howard Zehr, whose work has been foundational for the restorative justice movement, argues that the conventional criminal justice system asks the wrong questions. Where the conventional system asks “what law was broken, who broke it, and what punishment do they deserve?” restorative justice asks “who was harmed, what do they need, and how can those responsible contribute to meeting those needs?”</w:t>
      </w:r>
      <w:r>
        <w:rPr>
          <w:rFonts w:ascii="Times New Roman" w:hAnsi="Times New Roman" w:cs="Times New Roman"/>
          <w:sz w:val="22"/>
          <w:szCs w:val="22"/>
          <w:vertAlign w:val="superscript"/>
        </w:rPr>
        <w:t>3</w:t>
      </w:r>
      <w:r>
        <w:rPr>
          <w:rFonts w:ascii="Times New Roman" w:hAnsi="Times New Roman" w:cs="Times New Roman"/>
          <w:sz w:val="22"/>
          <w:szCs w:val="22"/>
        </w:rPr>
        <w:t xml:space="preserve"> The shift is from a transaction between the state and the offender to a conversation between the offender and the people actually affected by the offense. The victim is moved from the periphery of the process, where conventional criminal justice tends to place them, to its center.</w:t>
      </w:r>
    </w:p>
    <w:p w14:paraId="4DBE6F5D" w14:textId="77777777" w:rsidR="003C4F15" w:rsidRPr="00850CC8" w:rsidRDefault="003C4F15" w:rsidP="00850CC8">
      <w:pPr>
        <w:spacing w:line="276" w:lineRule="auto"/>
        <w:rPr>
          <w:rFonts w:ascii="Times New Roman" w:hAnsi="Times New Roman" w:cs="Times New Roman"/>
          <w:sz w:val="22"/>
          <w:szCs w:val="22"/>
        </w:rPr>
      </w:pPr>
    </w:p>
    <w:p w14:paraId="1DC332BB" w14:textId="77777777" w:rsidR="003C4F15" w:rsidRPr="00850CC8" w:rsidRDefault="003C4F15"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 xml:space="preserve">Miroslav Volf’s account of reconciliation in </w:t>
      </w:r>
      <w:r>
        <w:rPr>
          <w:rFonts w:ascii="Times New Roman" w:hAnsi="Times New Roman" w:cs="Times New Roman"/>
          <w:i/>
          <w:iCs/>
          <w:sz w:val="22"/>
          <w:szCs w:val="22"/>
        </w:rPr>
        <w:t>Exclusion and Embrace</w:t>
      </w:r>
      <w:r>
        <w:rPr>
          <w:rFonts w:ascii="Times New Roman" w:hAnsi="Times New Roman" w:cs="Times New Roman"/>
          <w:sz w:val="22"/>
          <w:szCs w:val="22"/>
        </w:rPr>
        <w:t xml:space="preserve"> develops the relational insight of restorative justice in a theological direction that is directly relevant to the present argument. His central image is the open arms of the father in the parable of the prodigal son: a posture of welcome extended toward the one who has become an enemy, grounded in the Trinitarian character of a God whose love moves always toward embrace rather than exclusion.</w:t>
      </w:r>
      <w:r>
        <w:rPr>
          <w:rFonts w:ascii="Times New Roman" w:hAnsi="Times New Roman" w:cs="Times New Roman"/>
          <w:sz w:val="22"/>
          <w:szCs w:val="22"/>
          <w:vertAlign w:val="superscript"/>
        </w:rPr>
        <w:t>4</w:t>
      </w:r>
      <w:r>
        <w:rPr>
          <w:rFonts w:ascii="Times New Roman" w:hAnsi="Times New Roman" w:cs="Times New Roman"/>
          <w:sz w:val="22"/>
          <w:szCs w:val="22"/>
        </w:rPr>
        <w:t xml:space="preserve"> Volf is careful to note that real embrace is not the premature closure of wounds that have not been honestly acknowledged. It requires, as he puts it, the “will to give ourselves to the other and welcome the other into ourselves” in a way that does not deny the reality of what was done. But the direction of the movement is always toward the restoration of relation rather than toward the indefinite maintenance of the breach.</w:t>
      </w:r>
    </w:p>
    <w:p w14:paraId="647DF1A5" w14:textId="77777777" w:rsidR="003C4F15" w:rsidRPr="00850CC8" w:rsidRDefault="003C4F15" w:rsidP="00850CC8">
      <w:pPr>
        <w:spacing w:line="276" w:lineRule="auto"/>
        <w:rPr>
          <w:rFonts w:ascii="Times New Roman" w:hAnsi="Times New Roman" w:cs="Times New Roman"/>
          <w:sz w:val="22"/>
          <w:szCs w:val="22"/>
        </w:rPr>
      </w:pPr>
    </w:p>
    <w:p w14:paraId="4EAC2C3E" w14:textId="77777777" w:rsidR="003C4F15" w:rsidRPr="00850CC8" w:rsidRDefault="003C4F15"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What the restorative account perceives, and what the retributive account tends to underweight, is that justice is not complete when the debt has been paid. A person who has served their sentence has satisfied the retributive demand of the system that punished them, but this does not mean that the relationship with the person they harmed has been restored, that the community from which they were separated has received them back, or that the moral damage done by their act has been fully addressed. The satisfaction of the retributive demand is a necessary but not sufficient condition for justice understood in its full relational scope.</w:t>
      </w:r>
    </w:p>
    <w:p w14:paraId="3E2A368B" w14:textId="77777777" w:rsidR="003C4F15" w:rsidRPr="00850CC8" w:rsidRDefault="003C4F15" w:rsidP="00850CC8">
      <w:pPr>
        <w:spacing w:line="276" w:lineRule="auto"/>
        <w:rPr>
          <w:rFonts w:ascii="Times New Roman" w:hAnsi="Times New Roman" w:cs="Times New Roman"/>
          <w:sz w:val="22"/>
          <w:szCs w:val="22"/>
        </w:rPr>
      </w:pPr>
    </w:p>
    <w:p w14:paraId="747B3B2C" w14:textId="77777777" w:rsidR="003C4F15" w:rsidRPr="00850CC8" w:rsidRDefault="003C4F15" w:rsidP="00850CC8">
      <w:pPr>
        <w:spacing w:before="480" w:after="240" w:line="276" w:lineRule="auto"/>
        <w:rPr>
          <w:rFonts w:ascii="Times New Roman" w:hAnsi="Times New Roman" w:cs="Times New Roman"/>
          <w:sz w:val="22"/>
          <w:szCs w:val="22"/>
        </w:rPr>
      </w:pPr>
      <w:r>
        <w:rPr>
          <w:rFonts w:ascii="Times New Roman" w:hAnsi="Times New Roman" w:cs="Times New Roman"/>
          <w:b/>
          <w:bCs/>
          <w:sz w:val="22"/>
          <w:szCs w:val="22"/>
        </w:rPr>
        <w:t>The Failure of Each Account When Taken Alone</w:t>
      </w:r>
    </w:p>
    <w:p w14:paraId="369A0E88" w14:textId="77777777" w:rsidR="003C4F15" w:rsidRPr="00850CC8" w:rsidRDefault="003C4F15" w:rsidP="00850CC8">
      <w:pPr>
        <w:spacing w:line="276" w:lineRule="auto"/>
        <w:jc w:val="both"/>
        <w:rPr>
          <w:rFonts w:ascii="Times New Roman" w:hAnsi="Times New Roman" w:cs="Times New Roman"/>
          <w:sz w:val="22"/>
          <w:szCs w:val="22"/>
        </w:rPr>
      </w:pPr>
      <w:r>
        <w:rPr>
          <w:rFonts w:ascii="Times New Roman" w:hAnsi="Times New Roman" w:cs="Times New Roman"/>
          <w:sz w:val="22"/>
          <w:szCs w:val="22"/>
        </w:rPr>
        <w:t>Each account, when pressed beyond its proper scope, produces characteristic distortions that the other account is well positioned to identify.</w:t>
      </w:r>
    </w:p>
    <w:p w14:paraId="4F2C4182" w14:textId="77777777" w:rsidR="003C4F15" w:rsidRPr="00850CC8" w:rsidRDefault="003C4F15" w:rsidP="00850CC8">
      <w:pPr>
        <w:spacing w:line="276" w:lineRule="auto"/>
        <w:rPr>
          <w:rFonts w:ascii="Times New Roman" w:hAnsi="Times New Roman" w:cs="Times New Roman"/>
          <w:sz w:val="22"/>
          <w:szCs w:val="22"/>
        </w:rPr>
      </w:pPr>
    </w:p>
    <w:p w14:paraId="6FDA0AB7" w14:textId="77777777" w:rsidR="003C4F15" w:rsidRPr="00850CC8" w:rsidRDefault="003C4F15"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Retributive justice, taken alone and pressed to its logical extreme, tends toward a conception of justice in which the satisfaction of the abstract requirement of proportionality is treated as an end in itself, regardless of what it achieves for the actual persons involved. A system that punishes offenders with scrupulous proportionality while doing nothing to address the needs of victims, nothing to reduce the likelihood of reoffending, and nothing to repair the communities damaged by the offense has satisfied the retributive requirement but has not served justice in any recognizably full sense. The punishment has been administered, the debt acknowledged, the moral scales notionally rebalanced, but the people whose lives were actually affected by the wrong are no better off for it.</w:t>
      </w:r>
    </w:p>
    <w:p w14:paraId="1AD9FD4D" w14:textId="77777777" w:rsidR="003C4F15" w:rsidRPr="00850CC8" w:rsidRDefault="003C4F15" w:rsidP="00850CC8">
      <w:pPr>
        <w:spacing w:line="276" w:lineRule="auto"/>
        <w:rPr>
          <w:rFonts w:ascii="Times New Roman" w:hAnsi="Times New Roman" w:cs="Times New Roman"/>
          <w:sz w:val="22"/>
          <w:szCs w:val="22"/>
        </w:rPr>
      </w:pPr>
    </w:p>
    <w:p w14:paraId="37D73F53" w14:textId="77777777" w:rsidR="003C4F15" w:rsidRPr="00850CC8" w:rsidRDefault="003C4F15"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There is also a deeper difficulty with retributive justice when it is severed from any restorative orientation. The logic of proportionate response, extended without limit, tends toward cycles of retribution in which each response to a wrong generates a new wrong requiring a further response. René Girard’s analysis of mimetic violence is relevant here: the retributive logic, unchecked by any forward-looking account of where the response to wrongdoing is supposed to arrive, tends to reproduce the very violence it was meant to address, because each act of retaliation is experienced by the retaliating party as the initial act of justice rather than as a further link in an escalating chain.</w:t>
      </w:r>
      <w:r>
        <w:rPr>
          <w:rFonts w:ascii="Times New Roman" w:hAnsi="Times New Roman" w:cs="Times New Roman"/>
          <w:sz w:val="22"/>
          <w:szCs w:val="22"/>
          <w:vertAlign w:val="superscript"/>
        </w:rPr>
        <w:t>5</w:t>
      </w:r>
    </w:p>
    <w:p w14:paraId="57A53083" w14:textId="77777777" w:rsidR="003C4F15" w:rsidRPr="00850CC8" w:rsidRDefault="003C4F15" w:rsidP="00850CC8">
      <w:pPr>
        <w:spacing w:line="276" w:lineRule="auto"/>
        <w:rPr>
          <w:rFonts w:ascii="Times New Roman" w:hAnsi="Times New Roman" w:cs="Times New Roman"/>
          <w:sz w:val="22"/>
          <w:szCs w:val="22"/>
        </w:rPr>
      </w:pPr>
    </w:p>
    <w:p w14:paraId="7742F7DD" w14:textId="77777777" w:rsidR="003C4F15" w:rsidRPr="00850CC8" w:rsidRDefault="003C4F15"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 xml:space="preserve">Restorative justice, taken alone and pressed to its logical extreme, produces the opposite distortion. A system that focuses exclusively on repairing relationships and reintegrating offenders, without adequate </w:t>
        <w:lastRenderedPageBreak/>
        <w:t>acknowledgment of the retrospective demand that the wrong be taken seriously as a wrong, risks communicating to victims that what was done to them is primarily valuable as a teachable moment for the person who did it. The community circle that facilitates dialogue between victim and offender without first establishing that the offense was actually wrong and deserving of a real response can feel, to the victim, less like justice than like a sophisticated form of minimization.</w:t>
      </w:r>
    </w:p>
    <w:p w14:paraId="5F2BD72A" w14:textId="77777777" w:rsidR="003C4F15" w:rsidRPr="00850CC8" w:rsidRDefault="003C4F15" w:rsidP="00850CC8">
      <w:pPr>
        <w:spacing w:line="276" w:lineRule="auto"/>
        <w:rPr>
          <w:rFonts w:ascii="Times New Roman" w:hAnsi="Times New Roman" w:cs="Times New Roman"/>
          <w:sz w:val="22"/>
          <w:szCs w:val="22"/>
        </w:rPr>
      </w:pPr>
    </w:p>
    <w:p w14:paraId="2FEA4618" w14:textId="77777777" w:rsidR="003C4F15" w:rsidRPr="00850CC8" w:rsidRDefault="003C4F15"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 xml:space="preserve">Wolterstorff identifies this difficulty in his account of the relationship between justice and love in </w:t>
      </w:r>
      <w:r>
        <w:rPr>
          <w:rFonts w:ascii="Times New Roman" w:hAnsi="Times New Roman" w:cs="Times New Roman"/>
          <w:i/>
          <w:iCs/>
          <w:sz w:val="22"/>
          <w:szCs w:val="22"/>
        </w:rPr>
        <w:t>Justice in Love</w:t>
      </w:r>
      <w:r>
        <w:rPr>
          <w:rFonts w:ascii="Times New Roman" w:hAnsi="Times New Roman" w:cs="Times New Roman"/>
          <w:sz w:val="22"/>
          <w:szCs w:val="22"/>
        </w:rPr>
        <w:t>. His argument is that real love for a person who has been wronged includes the demand for justice on their behalf: a love that is content to bypass the retributive dimension in the interest of relational harmony is not taking the victim’s worth seriously. The two impulses, toward proportionate accountability and toward relational repair, cannot be traded off against each other without loss. A full account of justice requires both.</w:t>
      </w:r>
      <w:r>
        <w:rPr>
          <w:rFonts w:ascii="Times New Roman" w:hAnsi="Times New Roman" w:cs="Times New Roman"/>
          <w:sz w:val="22"/>
          <w:szCs w:val="22"/>
          <w:vertAlign w:val="superscript"/>
        </w:rPr>
        <w:t>6</w:t>
      </w:r>
    </w:p>
    <w:p w14:paraId="498FC668" w14:textId="77777777" w:rsidR="003C4F15" w:rsidRPr="00850CC8" w:rsidRDefault="003C4F15" w:rsidP="00850CC8">
      <w:pPr>
        <w:spacing w:line="276" w:lineRule="auto"/>
        <w:rPr>
          <w:rFonts w:ascii="Times New Roman" w:hAnsi="Times New Roman" w:cs="Times New Roman"/>
          <w:sz w:val="22"/>
          <w:szCs w:val="22"/>
        </w:rPr>
      </w:pPr>
    </w:p>
    <w:p w14:paraId="2BBB6CC2" w14:textId="77777777" w:rsidR="003C4F15" w:rsidRPr="00850CC8" w:rsidRDefault="003C4F15" w:rsidP="00850CC8">
      <w:pPr>
        <w:spacing w:before="480" w:after="240" w:line="276" w:lineRule="auto"/>
        <w:rPr>
          <w:rFonts w:ascii="Times New Roman" w:hAnsi="Times New Roman" w:cs="Times New Roman"/>
          <w:sz w:val="22"/>
          <w:szCs w:val="22"/>
        </w:rPr>
      </w:pPr>
      <w:r>
        <w:rPr>
          <w:rFonts w:ascii="Times New Roman" w:hAnsi="Times New Roman" w:cs="Times New Roman"/>
          <w:b/>
          <w:bCs/>
          <w:sz w:val="22"/>
          <w:szCs w:val="22"/>
        </w:rPr>
        <w:t>The Reflexive Structure of Justice</w:t>
      </w:r>
    </w:p>
    <w:p w14:paraId="5048144F" w14:textId="77777777" w:rsidR="003C4F15" w:rsidRPr="00850CC8" w:rsidRDefault="003C4F15" w:rsidP="00850CC8">
      <w:pPr>
        <w:spacing w:line="276" w:lineRule="auto"/>
        <w:jc w:val="both"/>
        <w:rPr>
          <w:rFonts w:ascii="Times New Roman" w:hAnsi="Times New Roman" w:cs="Times New Roman"/>
          <w:sz w:val="22"/>
          <w:szCs w:val="22"/>
        </w:rPr>
      </w:pPr>
      <w:r>
        <w:rPr>
          <w:rFonts w:ascii="Times New Roman" w:hAnsi="Times New Roman" w:cs="Times New Roman"/>
          <w:sz w:val="22"/>
          <w:szCs w:val="22"/>
        </w:rPr>
        <w:t>The constructive proposal of this chapter can now be stated more precisely.</w:t>
      </w:r>
    </w:p>
    <w:p w14:paraId="783FFFA0" w14:textId="77777777" w:rsidR="003C4F15" w:rsidRPr="00850CC8" w:rsidRDefault="003C4F15" w:rsidP="00850CC8">
      <w:pPr>
        <w:spacing w:line="276" w:lineRule="auto"/>
        <w:rPr>
          <w:rFonts w:ascii="Times New Roman" w:hAnsi="Times New Roman" w:cs="Times New Roman"/>
          <w:sz w:val="22"/>
          <w:szCs w:val="22"/>
        </w:rPr>
      </w:pPr>
    </w:p>
    <w:p w14:paraId="4A3E90AA" w14:textId="77777777" w:rsidR="003C4F15" w:rsidRPr="00850CC8" w:rsidRDefault="003C4F15"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Chapter Five argued that the phrase “as yourself” in the love commandment encodes a reflexive structure: the agent’s own experience of receiving or not receiving good treatment provides the normative measure for what the other is owed. The self is not the rival of the neighbor but the measure of what the neighbor requires. And the love that the command describes is not self-abnegating but self-involving: it draws on the self’s experience of being loved, cared for, and justly treated in order to understand what love, care, and just treatment require in relation to the other.</w:t>
      </w:r>
    </w:p>
    <w:p w14:paraId="5D40A731" w14:textId="77777777" w:rsidR="003C4F15" w:rsidRPr="00850CC8" w:rsidRDefault="003C4F15" w:rsidP="00850CC8">
      <w:pPr>
        <w:spacing w:line="276" w:lineRule="auto"/>
        <w:rPr>
          <w:rFonts w:ascii="Times New Roman" w:hAnsi="Times New Roman" w:cs="Times New Roman"/>
          <w:sz w:val="22"/>
          <w:szCs w:val="22"/>
        </w:rPr>
      </w:pPr>
    </w:p>
    <w:p w14:paraId="145AF00D" w14:textId="77777777" w:rsidR="003C4F15" w:rsidRPr="00850CC8" w:rsidRDefault="003C4F15"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This same reflexive structure is at work in both dimensions of justice, and seeing that it is allows us to understand how the two dimensions are related.</w:t>
      </w:r>
    </w:p>
    <w:p w14:paraId="7FB7CFC0" w14:textId="77777777" w:rsidR="003C4F15" w:rsidRPr="00850CC8" w:rsidRDefault="003C4F15" w:rsidP="00850CC8">
      <w:pPr>
        <w:spacing w:line="276" w:lineRule="auto"/>
        <w:rPr>
          <w:rFonts w:ascii="Times New Roman" w:hAnsi="Times New Roman" w:cs="Times New Roman"/>
          <w:sz w:val="22"/>
          <w:szCs w:val="22"/>
        </w:rPr>
      </w:pPr>
    </w:p>
    <w:p w14:paraId="49A9FF52" w14:textId="77777777" w:rsidR="003C4F15" w:rsidRPr="00850CC8" w:rsidRDefault="003C4F15"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The retributive dimension of justice is the reflexive structure applied retrospectively, to a broken relation. When someone is seriously wronged, the reflexive structure of the love commandment generates a specific kind of moral demand: the demand that the wrong be acknowledged as a wrong, that the one who did it be held accountable for having done it, and that the victim’s experience of having been wronged be taken seriously rather than managed for outcomes. This is the demand that what was done to them be treated with the same moral seriousness as what would have been done to the perpetrator, had the roles been reversed. It is, in other words, the “as yourself” structure applied to the experience of violation: the victim deserves to have their suffering taken as seriously as the perpetrator would want their own suffering taken.</w:t>
      </w:r>
    </w:p>
    <w:p w14:paraId="19B4CF53" w14:textId="77777777" w:rsidR="003C4F15" w:rsidRPr="00850CC8" w:rsidRDefault="003C4F15" w:rsidP="00850CC8">
      <w:pPr>
        <w:spacing w:line="276" w:lineRule="auto"/>
        <w:rPr>
          <w:rFonts w:ascii="Times New Roman" w:hAnsi="Times New Roman" w:cs="Times New Roman"/>
          <w:sz w:val="22"/>
          <w:szCs w:val="22"/>
        </w:rPr>
      </w:pPr>
    </w:p>
    <w:p w14:paraId="48825128" w14:textId="77777777" w:rsidR="003C4F15" w:rsidRPr="00850CC8" w:rsidRDefault="003C4F15"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The restorative dimension of justice is the same reflexive structure applied prospectively, toward a repaired relation. The question the restorative account asks, “what do the people harmed by this wrong need in order to flourish again?” is also a reflexive question: it asks what the victim would want for themselves if they could fully articulate their needs, and it directs the response of the community and the offender toward meeting those needs. The forward-looking orientation of restorative justice is not a departure from the reflexive structure of love. It is the application of that structure to the question of what the future of the broken relation should look like.</w:t>
      </w:r>
    </w:p>
    <w:p w14:paraId="4A70599A" w14:textId="77777777" w:rsidR="003C4F15" w:rsidRPr="00850CC8" w:rsidRDefault="003C4F15" w:rsidP="00850CC8">
      <w:pPr>
        <w:spacing w:line="276" w:lineRule="auto"/>
        <w:rPr>
          <w:rFonts w:ascii="Times New Roman" w:hAnsi="Times New Roman" w:cs="Times New Roman"/>
          <w:sz w:val="22"/>
          <w:szCs w:val="22"/>
        </w:rPr>
      </w:pPr>
    </w:p>
    <w:p w14:paraId="532A3C44" w14:textId="77777777" w:rsidR="003C4F15" w:rsidRPr="00850CC8" w:rsidRDefault="003C4F15"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The two dimensions are therefore not rivals. They are the backward-looking and forward-looking faces of a single moral demand: the demand that every person be treated with the same seriousness that the reflexive structure of love requires. The retributive face looks at what was done and insists that it be taken seriously as a violation of the worth of a person made in God’s image. The restorative face looks at what needs to happen and insists that the repair of what was broken is the proper destination of the justice process. Separate them, and each becomes a distortion. Hold them together, and they constitute the full shape of what justice requires within a broken relational order.</w:t>
      </w:r>
    </w:p>
    <w:p w14:paraId="1656D5F2" w14:textId="77777777" w:rsidR="003C4F15" w:rsidRPr="00850CC8" w:rsidRDefault="003C4F15" w:rsidP="00850CC8">
      <w:pPr>
        <w:spacing w:line="276" w:lineRule="auto"/>
        <w:rPr>
          <w:rFonts w:ascii="Times New Roman" w:hAnsi="Times New Roman" w:cs="Times New Roman"/>
          <w:sz w:val="22"/>
          <w:szCs w:val="22"/>
        </w:rPr>
      </w:pPr>
    </w:p>
    <w:p w14:paraId="1C5A6534" w14:textId="77777777" w:rsidR="003C4F15" w:rsidRPr="00850CC8" w:rsidRDefault="003C4F15" w:rsidP="00850CC8">
      <w:pPr>
        <w:spacing w:before="480" w:after="240" w:line="276" w:lineRule="auto"/>
        <w:rPr>
          <w:rFonts w:ascii="Times New Roman" w:hAnsi="Times New Roman" w:cs="Times New Roman"/>
          <w:sz w:val="22"/>
          <w:szCs w:val="22"/>
        </w:rPr>
      </w:pPr>
      <w:r>
        <w:rPr>
          <w:rFonts w:ascii="Times New Roman" w:hAnsi="Times New Roman" w:cs="Times New Roman"/>
          <w:b/>
          <w:bCs/>
          <w:sz w:val="22"/>
          <w:szCs w:val="22"/>
        </w:rPr>
        <w:t>The Trinitarian Ground</w:t>
      </w:r>
    </w:p>
    <w:p w14:paraId="52E94FE2" w14:textId="77777777" w:rsidR="003C4F15" w:rsidRPr="00850CC8" w:rsidRDefault="003C4F15" w:rsidP="00850CC8">
      <w:pPr>
        <w:spacing w:line="276" w:lineRule="auto"/>
        <w:jc w:val="both"/>
        <w:rPr>
          <w:rFonts w:ascii="Times New Roman" w:hAnsi="Times New Roman" w:cs="Times New Roman"/>
          <w:sz w:val="22"/>
          <w:szCs w:val="22"/>
        </w:rPr>
      </w:pPr>
      <w:r>
        <w:rPr>
          <w:rFonts w:ascii="Times New Roman" w:hAnsi="Times New Roman" w:cs="Times New Roman"/>
          <w:sz w:val="22"/>
          <w:szCs w:val="22"/>
        </w:rPr>
        <w:t>The reflexive structure that unifies the two dimensions of justice does not float free in the moral universe. It is grounded, as the preceding chapters have argued, in the character of the God in whose image the persons involved in any act of justice are made.</w:t>
      </w:r>
    </w:p>
    <w:p w14:paraId="5BAA82B1" w14:textId="77777777" w:rsidR="003C4F15" w:rsidRPr="00850CC8" w:rsidRDefault="003C4F15" w:rsidP="00850CC8">
      <w:pPr>
        <w:spacing w:line="276" w:lineRule="auto"/>
        <w:rPr>
          <w:rFonts w:ascii="Times New Roman" w:hAnsi="Times New Roman" w:cs="Times New Roman"/>
          <w:sz w:val="22"/>
          <w:szCs w:val="22"/>
        </w:rPr>
      </w:pPr>
    </w:p>
    <w:p w14:paraId="3764A83A" w14:textId="77777777" w:rsidR="003C4F15" w:rsidRPr="00850CC8" w:rsidRDefault="003C4F15"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The perichoretic love of the Trinity, described in Chapter Two, is the original form of the reflexive structure that the love commandment encodes. In the eternal mutual self-giving of Father, Son, and Spirit, each person gives to the others what they would have given to themselves, and receives from the others the fullness of what that love entails. There is no violation of this structure within the Trinitarian life, no broken relation requiring repair, no debt outstanding between the persons of the Trinity. But the relational character of God that this eternal pattern constitutes is the source of both dimensions of justice when that pattern is violated in the creaturely realm.</w:t>
      </w:r>
    </w:p>
    <w:p w14:paraId="2B969070" w14:textId="77777777" w:rsidR="003C4F15" w:rsidRPr="00850CC8" w:rsidRDefault="003C4F15" w:rsidP="00850CC8">
      <w:pPr>
        <w:spacing w:line="276" w:lineRule="auto"/>
        <w:rPr>
          <w:rFonts w:ascii="Times New Roman" w:hAnsi="Times New Roman" w:cs="Times New Roman"/>
          <w:sz w:val="22"/>
          <w:szCs w:val="22"/>
        </w:rPr>
      </w:pPr>
    </w:p>
    <w:p w14:paraId="4A2FEA95" w14:textId="77777777" w:rsidR="003C4F15" w:rsidRPr="00850CC8" w:rsidRDefault="003C4F15"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The retributive dimension has its ground in the character of God as the one whose image every person bears. When a person is wronged, what is violated is not merely a social contract or a legal rule but the worth of someone made in the image of God, someone whose relational constitution reflects, however dimly and distortedly after the fall, the relational character of the God in whom she finds her ultimate dignity. The retributive demand that the wrong be taken seriously is the demand that this worth be honored. It flows from the same Trinitarian source as the love commandment: because every person bears God’s image, every wrong done to a person is an act with implications that no merely pragmatic account of consequences can fully capture.</w:t>
      </w:r>
    </w:p>
    <w:p w14:paraId="2B47446D" w14:textId="77777777" w:rsidR="003C4F15" w:rsidRPr="00850CC8" w:rsidRDefault="003C4F15" w:rsidP="00850CC8">
      <w:pPr>
        <w:spacing w:line="276" w:lineRule="auto"/>
        <w:rPr>
          <w:rFonts w:ascii="Times New Roman" w:hAnsi="Times New Roman" w:cs="Times New Roman"/>
          <w:sz w:val="22"/>
          <w:szCs w:val="22"/>
        </w:rPr>
      </w:pPr>
    </w:p>
    <w:p w14:paraId="6818CB75" w14:textId="77777777" w:rsidR="003C4F15" w:rsidRPr="00850CC8" w:rsidRDefault="003C4F15"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The restorative dimension has its ground in the same Trinitarian character, approached from the direction of God’s own inclination toward mercy rather than judgment. Chapter Seven established that the asymmetry between mercy and judgment in the divine character is not accidental: mercy is the grain of the wood, judgment against it. The God who is “slow to anger and abounding in steadfast love” does not rest content with the satisfaction of retributive demands. His orientation is always toward the repair of broken relations, toward the restoration of the image that sin has distorted, toward the reconstitution of the shalom that the violation disrupted. The restorative dimension of justice reflects this divine inclination: it is not a soft alternative to the serious business of holding wrongdoers accountable but the forward face of a love that takes both the victim’s worth and the offender’s potential for restoration equally seriously.</w:t>
      </w:r>
      <w:r>
        <w:rPr>
          <w:rFonts w:ascii="Times New Roman" w:hAnsi="Times New Roman" w:cs="Times New Roman"/>
          <w:sz w:val="22"/>
          <w:szCs w:val="22"/>
          <w:vertAlign w:val="superscript"/>
        </w:rPr>
        <w:t>7</w:t>
      </w:r>
    </w:p>
    <w:p w14:paraId="1A423ABF" w14:textId="77777777" w:rsidR="003C4F15" w:rsidRPr="00850CC8" w:rsidRDefault="003C4F15" w:rsidP="00850CC8">
      <w:pPr>
        <w:spacing w:line="276" w:lineRule="auto"/>
        <w:rPr>
          <w:rFonts w:ascii="Times New Roman" w:hAnsi="Times New Roman" w:cs="Times New Roman"/>
          <w:sz w:val="22"/>
          <w:szCs w:val="22"/>
        </w:rPr>
      </w:pPr>
    </w:p>
    <w:p w14:paraId="79D472CC" w14:textId="77777777" w:rsidR="003C4F15" w:rsidRPr="00850CC8" w:rsidRDefault="003C4F15"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lastRenderedPageBreak/>
        <w:t>Karl Barth’s formulation, that the wrath of God is not a divine attribute that stands alongside love as its rival but the form that love takes when it encounters the persistent refusal of the creature, is illuminating here.</w:t>
      </w:r>
      <w:r>
        <w:rPr>
          <w:rFonts w:ascii="Times New Roman" w:hAnsi="Times New Roman" w:cs="Times New Roman"/>
          <w:sz w:val="22"/>
          <w:szCs w:val="22"/>
          <w:vertAlign w:val="superscript"/>
        </w:rPr>
        <w:t>8</w:t>
      </w:r>
      <w:r>
        <w:rPr>
          <w:rFonts w:ascii="Times New Roman" w:hAnsi="Times New Roman" w:cs="Times New Roman"/>
          <w:sz w:val="22"/>
          <w:szCs w:val="22"/>
        </w:rPr>
        <w:t xml:space="preserve"> If Barth is right, then the retributive dimension of justice is not the expression of a different divine impulse from the restorative dimension. It is the expression of the same love, meeting the reality of violated worth with the seriousness that love requires. And the restorative dimension is that same love meeting the broken relation with the forward-moving energy that love also requires. Wrath and mercy, retribution and restoration, are not two competing divine inclinations. They are two expressions of a single love that is both serious about what wrong costs and serious about what repair makes possible.</w:t>
      </w:r>
    </w:p>
    <w:p w14:paraId="6644EBE6" w14:textId="77777777" w:rsidR="003C4F15" w:rsidRPr="00850CC8" w:rsidRDefault="003C4F15" w:rsidP="00850CC8">
      <w:pPr>
        <w:spacing w:line="276" w:lineRule="auto"/>
        <w:rPr>
          <w:rFonts w:ascii="Times New Roman" w:hAnsi="Times New Roman" w:cs="Times New Roman"/>
          <w:sz w:val="22"/>
          <w:szCs w:val="22"/>
        </w:rPr>
      </w:pPr>
    </w:p>
    <w:p w14:paraId="7D1AD70E" w14:textId="77777777" w:rsidR="003C4F15" w:rsidRPr="00850CC8" w:rsidRDefault="003C4F15" w:rsidP="00850CC8">
      <w:pPr>
        <w:spacing w:before="480" w:after="240" w:line="276" w:lineRule="auto"/>
        <w:rPr>
          <w:rFonts w:ascii="Times New Roman" w:hAnsi="Times New Roman" w:cs="Times New Roman"/>
          <w:sz w:val="22"/>
          <w:szCs w:val="22"/>
        </w:rPr>
      </w:pPr>
      <w:r>
        <w:rPr>
          <w:rFonts w:ascii="Times New Roman" w:hAnsi="Times New Roman" w:cs="Times New Roman"/>
          <w:b/>
          <w:bCs/>
          <w:sz w:val="22"/>
          <w:szCs w:val="22"/>
        </w:rPr>
        <w:t>The Cross as the Fullest Display</w:t>
      </w:r>
    </w:p>
    <w:p w14:paraId="09B921A2" w14:textId="77777777" w:rsidR="003C4F15" w:rsidRPr="00850CC8" w:rsidRDefault="003C4F15" w:rsidP="00850CC8">
      <w:pPr>
        <w:spacing w:line="276" w:lineRule="auto"/>
        <w:jc w:val="both"/>
        <w:rPr>
          <w:rFonts w:ascii="Times New Roman" w:hAnsi="Times New Roman" w:cs="Times New Roman"/>
          <w:sz w:val="22"/>
          <w:szCs w:val="22"/>
        </w:rPr>
      </w:pPr>
      <w:r>
        <w:rPr>
          <w:rFonts w:ascii="Times New Roman" w:hAnsi="Times New Roman" w:cs="Times New Roman"/>
          <w:sz w:val="22"/>
          <w:szCs w:val="22"/>
        </w:rPr>
        <w:t>The argument of this chapter finds its most concentrated expression in the event that the New Testament identifies as the center of history: the crucifixion and resurrection of Jesus Christ.</w:t>
      </w:r>
    </w:p>
    <w:p w14:paraId="1E4C0CE9" w14:textId="77777777" w:rsidR="003C4F15" w:rsidRPr="00850CC8" w:rsidRDefault="003C4F15" w:rsidP="00850CC8">
      <w:pPr>
        <w:spacing w:line="276" w:lineRule="auto"/>
        <w:rPr>
          <w:rFonts w:ascii="Times New Roman" w:hAnsi="Times New Roman" w:cs="Times New Roman"/>
          <w:sz w:val="22"/>
          <w:szCs w:val="22"/>
        </w:rPr>
      </w:pPr>
    </w:p>
    <w:p w14:paraId="6697FDF1" w14:textId="77777777" w:rsidR="003C4F15" w:rsidRPr="00850CC8" w:rsidRDefault="003C4F15"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The cross is the point at which both dimensions of justice are displayed simultaneously and at the greatest possible depth. The retributive dimension is present in the full weight of what it cost to take seriously the violation of the worth of every image-bearing creature who has ever wronged another or been wronged: the accumulated weight of human and cosmic rebellion, borne in the person of the Son. The cross does not minimize the retributive demand. It maximizes it: it insists that the violation of the worth of persons made in God’s image is a matter of such moral gravity that no merely human act of contrition or restitution is commensurate with it.</w:t>
      </w:r>
    </w:p>
    <w:p w14:paraId="6FF5E256" w14:textId="77777777" w:rsidR="003C4F15" w:rsidRPr="00850CC8" w:rsidRDefault="003C4F15" w:rsidP="00850CC8">
      <w:pPr>
        <w:spacing w:line="276" w:lineRule="auto"/>
        <w:rPr>
          <w:rFonts w:ascii="Times New Roman" w:hAnsi="Times New Roman" w:cs="Times New Roman"/>
          <w:sz w:val="22"/>
          <w:szCs w:val="22"/>
        </w:rPr>
      </w:pPr>
    </w:p>
    <w:p w14:paraId="46F8EAA3" w14:textId="77777777" w:rsidR="003C4F15" w:rsidRPr="00850CC8" w:rsidRDefault="003C4F15"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Paul’s language in Romans 3:25–26 is precise at exactly this point. God put Christ forward as a propitiation, Paul says, to show his righteousness, “because in his divine forbearance he had passed over former sins. It was to show his righteousness at the present time, so that he might be just and the justifier of the one who has faith in Jesus.” The cross demonstrates that God is just: it takes the retributive demand with full seriousness, refusing to treat the accumulated weight of human wrongdoing as though it could simply be set aside. And it demonstrates that God is the justifier: it is the act by which the restorative movement of love reaches the broken relation and constitutes the possibility of its repair.</w:t>
      </w:r>
      <w:r>
        <w:rPr>
          <w:rFonts w:ascii="Times New Roman" w:hAnsi="Times New Roman" w:cs="Times New Roman"/>
          <w:sz w:val="22"/>
          <w:szCs w:val="22"/>
          <w:vertAlign w:val="superscript"/>
        </w:rPr>
        <w:t>9</w:t>
      </w:r>
    </w:p>
    <w:p w14:paraId="564E508C" w14:textId="77777777" w:rsidR="003C4F15" w:rsidRPr="00850CC8" w:rsidRDefault="003C4F15" w:rsidP="00850CC8">
      <w:pPr>
        <w:spacing w:line="276" w:lineRule="auto"/>
        <w:rPr>
          <w:rFonts w:ascii="Times New Roman" w:hAnsi="Times New Roman" w:cs="Times New Roman"/>
          <w:sz w:val="22"/>
          <w:szCs w:val="22"/>
        </w:rPr>
      </w:pPr>
    </w:p>
    <w:p w14:paraId="1574E2D4" w14:textId="77777777" w:rsidR="003C4F15" w:rsidRPr="00850CC8" w:rsidRDefault="003C4F15"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The resurrection then confirms what the cross demonstrates: that the retributive satisfaction of justice and the restorative reconstitution of the broken relation are not two separate events but two aspects of a single divine act. The one who bore the retributive weight of human wrongdoing is raised from the dead, not as a reward for his suffering but as the confirmation that the love that drove him to the cross is the love that constitutes the original relational order of creation and cannot be finally defeated by any amount of creaturely rebellion.</w:t>
      </w:r>
    </w:p>
    <w:p w14:paraId="402E9BEF" w14:textId="77777777" w:rsidR="003C4F15" w:rsidRPr="00850CC8" w:rsidRDefault="003C4F15" w:rsidP="00850CC8">
      <w:pPr>
        <w:spacing w:line="276" w:lineRule="auto"/>
        <w:rPr>
          <w:rFonts w:ascii="Times New Roman" w:hAnsi="Times New Roman" w:cs="Times New Roman"/>
          <w:sz w:val="22"/>
          <w:szCs w:val="22"/>
        </w:rPr>
      </w:pPr>
    </w:p>
    <w:p w14:paraId="5720ED26" w14:textId="77777777" w:rsidR="003C4F15" w:rsidRPr="00850CC8" w:rsidRDefault="003C4F15"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Christopher Marshall’s careful study of justice in the New Testament documents the way in which the death and resurrection of Jesus functions in the Pauline and Johannine traditions as the ground of both dimensions of justice simultaneously. His argument is that the New Testament does not choose between retributive and restorative accounts of justice but holds both within a single theological vision in which the cross addresses the retributive demand and the resurrection inaugurates the restorative movement.</w:t>
      </w:r>
      <w:r>
        <w:rPr>
          <w:rFonts w:ascii="Times New Roman" w:hAnsi="Times New Roman" w:cs="Times New Roman"/>
          <w:sz w:val="22"/>
          <w:szCs w:val="22"/>
          <w:vertAlign w:val="superscript"/>
        </w:rPr>
        <w:t>10</w:t>
      </w:r>
    </w:p>
    <w:p w14:paraId="2536B607" w14:textId="77777777" w:rsidR="003C4F15" w:rsidRPr="00850CC8" w:rsidRDefault="003C4F15" w:rsidP="00850CC8">
      <w:pPr>
        <w:spacing w:line="276" w:lineRule="auto"/>
        <w:rPr>
          <w:rFonts w:ascii="Times New Roman" w:hAnsi="Times New Roman" w:cs="Times New Roman"/>
          <w:sz w:val="22"/>
          <w:szCs w:val="22"/>
        </w:rPr>
      </w:pPr>
    </w:p>
    <w:p w14:paraId="3EF2019C" w14:textId="77777777" w:rsidR="003C4F15" w:rsidRPr="00850CC8" w:rsidRDefault="003C4F15" w:rsidP="00850CC8">
      <w:pPr>
        <w:spacing w:before="480" w:after="240" w:line="276" w:lineRule="auto"/>
        <w:rPr>
          <w:rFonts w:ascii="Times New Roman" w:hAnsi="Times New Roman" w:cs="Times New Roman"/>
          <w:sz w:val="22"/>
          <w:szCs w:val="22"/>
        </w:rPr>
      </w:pPr>
      <w:r>
        <w:rPr>
          <w:rFonts w:ascii="Times New Roman" w:hAnsi="Times New Roman" w:cs="Times New Roman"/>
          <w:b/>
          <w:bCs/>
          <w:sz w:val="22"/>
          <w:szCs w:val="22"/>
        </w:rPr>
        <w:lastRenderedPageBreak/>
        <w:t>Justice in the Moral Life</w:t>
      </w:r>
    </w:p>
    <w:p w14:paraId="65349A0E" w14:textId="77777777" w:rsidR="003C4F15" w:rsidRPr="00850CC8" w:rsidRDefault="003C4F15" w:rsidP="00850CC8">
      <w:pPr>
        <w:spacing w:line="276" w:lineRule="auto"/>
        <w:jc w:val="both"/>
        <w:rPr>
          <w:rFonts w:ascii="Times New Roman" w:hAnsi="Times New Roman" w:cs="Times New Roman"/>
          <w:sz w:val="22"/>
          <w:szCs w:val="22"/>
        </w:rPr>
      </w:pPr>
      <w:r>
        <w:rPr>
          <w:rFonts w:ascii="Times New Roman" w:hAnsi="Times New Roman" w:cs="Times New Roman"/>
          <w:sz w:val="22"/>
          <w:szCs w:val="22"/>
        </w:rPr>
        <w:t>The integrated account of justice developed in this chapter has practical implications for how persons formed in the framework of this book approach the experience of wrongdoing, both as those who have been wronged and as those who have wronged others.</w:t>
      </w:r>
    </w:p>
    <w:p w14:paraId="2E0709DE" w14:textId="77777777" w:rsidR="003C4F15" w:rsidRPr="00850CC8" w:rsidRDefault="003C4F15" w:rsidP="00850CC8">
      <w:pPr>
        <w:spacing w:line="276" w:lineRule="auto"/>
        <w:rPr>
          <w:rFonts w:ascii="Times New Roman" w:hAnsi="Times New Roman" w:cs="Times New Roman"/>
          <w:sz w:val="22"/>
          <w:szCs w:val="22"/>
        </w:rPr>
      </w:pPr>
    </w:p>
    <w:p w14:paraId="5F124A03" w14:textId="77777777" w:rsidR="003C4F15" w:rsidRPr="00850CC8" w:rsidRDefault="003C4F15"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For the person who has been seriously wronged, the integrated account validates both the retributive demand and the restorative hope without collapsing one into the other. The demand that what was done to them be taken seriously as a wrong, that the person who did it be held accountable, and that their suffering not be instrumentalized for rehabilitative purposes, is a legitimate demand that the moral framework fully supports. It is grounded in the worth of the person as an image-bearer of God, and it deserves to be honored rather than bypassed in the interest of a premature reconciliation that has not passed through honest acknowledgment.</w:t>
      </w:r>
    </w:p>
    <w:p w14:paraId="5BAE300D" w14:textId="77777777" w:rsidR="003C4F15" w:rsidRPr="00850CC8" w:rsidRDefault="003C4F15" w:rsidP="00850CC8">
      <w:pPr>
        <w:spacing w:line="276" w:lineRule="auto"/>
        <w:rPr>
          <w:rFonts w:ascii="Times New Roman" w:hAnsi="Times New Roman" w:cs="Times New Roman"/>
          <w:sz w:val="22"/>
          <w:szCs w:val="22"/>
        </w:rPr>
      </w:pPr>
    </w:p>
    <w:p w14:paraId="44765031" w14:textId="77777777" w:rsidR="003C4F15" w:rsidRPr="00850CC8" w:rsidRDefault="003C4F15"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At the same time, the integrated account does not treat the satisfaction of the retributive demand as the final word. The restorative movement, the forward-looking orientation toward the repair of what was broken and the reconstitution of the shalom that the violation disrupted, is also part of what justice requires. This does not mean that every victim is obligated to pursue reconciliation with the person who wronged them, or that forgiveness is the same thing as the restoration of a relationship that may have been irreparably damaged. It means that the direction in which love moves, when the retributive demand has been honestly honored, is always toward repair rather than toward the indefinite maintenance of the breach.</w:t>
      </w:r>
    </w:p>
    <w:p w14:paraId="09EF501B" w14:textId="77777777" w:rsidR="003C4F15" w:rsidRPr="00850CC8" w:rsidRDefault="003C4F15" w:rsidP="00850CC8">
      <w:pPr>
        <w:spacing w:line="276" w:lineRule="auto"/>
        <w:rPr>
          <w:rFonts w:ascii="Times New Roman" w:hAnsi="Times New Roman" w:cs="Times New Roman"/>
          <w:sz w:val="22"/>
          <w:szCs w:val="22"/>
        </w:rPr>
      </w:pPr>
    </w:p>
    <w:p w14:paraId="3CE0C94A" w14:textId="77777777" w:rsidR="003C4F15" w:rsidRPr="00850CC8" w:rsidRDefault="003C4F15"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The distinction that Volf draws between forgiveness and reconciliation is important here. Forgiveness, he argues, is a gift that the wronged party can extend unilaterally, releasing the claim of retributive debt without requiring anything from the offender in return. Reconciliation is a bilateral achievement that requires actual repentance and changed behavior from the offender as well as willingness to receive the offender back from the wronged party.</w:t>
      </w:r>
      <w:r>
        <w:rPr>
          <w:rFonts w:ascii="Times New Roman" w:hAnsi="Times New Roman" w:cs="Times New Roman"/>
          <w:sz w:val="22"/>
          <w:szCs w:val="22"/>
          <w:vertAlign w:val="superscript"/>
        </w:rPr>
        <w:t>11</w:t>
      </w:r>
      <w:r>
        <w:rPr>
          <w:rFonts w:ascii="Times New Roman" w:hAnsi="Times New Roman" w:cs="Times New Roman"/>
          <w:sz w:val="22"/>
          <w:szCs w:val="22"/>
        </w:rPr>
        <w:t xml:space="preserve"> The integrated account of justice supports both: it does not require the wronged party to wait for reconciliation before extending forgiveness, and it does not treat forgiveness as equivalent to the closure of the retributive demand without the offender’s real accountability.</w:t>
      </w:r>
    </w:p>
    <w:p w14:paraId="1696FF8A" w14:textId="77777777" w:rsidR="003C4F15" w:rsidRPr="00850CC8" w:rsidRDefault="003C4F15" w:rsidP="00850CC8">
      <w:pPr>
        <w:spacing w:line="276" w:lineRule="auto"/>
        <w:rPr>
          <w:rFonts w:ascii="Times New Roman" w:hAnsi="Times New Roman" w:cs="Times New Roman"/>
          <w:sz w:val="22"/>
          <w:szCs w:val="22"/>
        </w:rPr>
      </w:pPr>
    </w:p>
    <w:p w14:paraId="39D61AF0" w14:textId="77777777" w:rsidR="003C4F15" w:rsidRPr="00850CC8" w:rsidRDefault="003C4F15"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For the person who has wronged another, the integrated account is equally demanding in both directions. The retributive dimension requires real accountability: the honest acknowledgment of what was done, the willingness to bear the consequences of having done it, the refusal to hide behind rehabilitation narratives that minimize the reality of the wrong. The restorative dimension requires the forward-looking orientation toward repair: the willingness to do what can be done to address the harm caused, to change the behavior that generated the wrong, and to seek the reconstitution of the broken relation where it is possible.</w:t>
      </w:r>
    </w:p>
    <w:p w14:paraId="65D43FCD" w14:textId="77777777" w:rsidR="003C4F15" w:rsidRPr="00850CC8" w:rsidRDefault="003C4F15" w:rsidP="00850CC8">
      <w:pPr>
        <w:spacing w:line="276" w:lineRule="auto"/>
        <w:rPr>
          <w:rFonts w:ascii="Times New Roman" w:hAnsi="Times New Roman" w:cs="Times New Roman"/>
          <w:sz w:val="22"/>
          <w:szCs w:val="22"/>
        </w:rPr>
      </w:pPr>
    </w:p>
    <w:p w14:paraId="1AA09AC7" w14:textId="77777777" w:rsidR="003C4F15" w:rsidRPr="00850CC8" w:rsidRDefault="003C4F15"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 xml:space="preserve">Neither dimension is optional, and neither can substitute for the other. A person who submits to retributive punishment without any real orientation toward the repair of what they broke has satisfied the legal system’s requirements without having engaged with the full moral reality of what they did. A person who expresses sincere remorse and an honest desire for restoration without being willing to bear any proportionate accountability for what they did has engaged with the forward-looking dimension of </w:t>
        <w:lastRenderedPageBreak/>
        <w:t>justice while evading its backward-looking demand. The integrated account requires both, because both are expressions of the same reflexive love that takes seriously both what the wrong cost and what the repair requires.</w:t>
      </w:r>
    </w:p>
    <w:p w14:paraId="1E5E8F13" w14:textId="77777777" w:rsidR="003C4F15" w:rsidRPr="00850CC8" w:rsidRDefault="003C4F15" w:rsidP="00850CC8">
      <w:pPr>
        <w:spacing w:line="276" w:lineRule="auto"/>
        <w:rPr>
          <w:rFonts w:ascii="Times New Roman" w:hAnsi="Times New Roman" w:cs="Times New Roman"/>
          <w:sz w:val="22"/>
          <w:szCs w:val="22"/>
        </w:rPr>
      </w:pPr>
    </w:p>
    <w:p w14:paraId="2CA38A05" w14:textId="77777777" w:rsidR="003C4F15" w:rsidRPr="00850CC8" w:rsidRDefault="003C4F15" w:rsidP="00850CC8">
      <w:pPr>
        <w:spacing w:before="480" w:after="240" w:line="276" w:lineRule="auto"/>
        <w:rPr>
          <w:rFonts w:ascii="Times New Roman" w:hAnsi="Times New Roman" w:cs="Times New Roman"/>
          <w:sz w:val="22"/>
          <w:szCs w:val="22"/>
        </w:rPr>
      </w:pPr>
      <w:r>
        <w:rPr>
          <w:rFonts w:ascii="Times New Roman" w:hAnsi="Times New Roman" w:cs="Times New Roman"/>
          <w:b/>
          <w:bCs/>
          <w:sz w:val="22"/>
          <w:szCs w:val="22"/>
        </w:rPr>
        <w:t>Looking Ahead</w:t>
      </w:r>
    </w:p>
    <w:p w14:paraId="18F2AB8C" w14:textId="77777777" w:rsidR="003C4F15" w:rsidRPr="00850CC8" w:rsidRDefault="003C4F15" w:rsidP="00850CC8">
      <w:pPr>
        <w:spacing w:line="276" w:lineRule="auto"/>
        <w:jc w:val="both"/>
        <w:rPr>
          <w:rFonts w:ascii="Times New Roman" w:hAnsi="Times New Roman" w:cs="Times New Roman"/>
          <w:sz w:val="22"/>
          <w:szCs w:val="22"/>
        </w:rPr>
      </w:pPr>
      <w:r>
        <w:rPr>
          <w:rFonts w:ascii="Times New Roman" w:hAnsi="Times New Roman" w:cs="Times New Roman"/>
          <w:sz w:val="22"/>
          <w:szCs w:val="22"/>
        </w:rPr>
        <w:t>The argument of this chapter has been constructive: it has proposed an account of justice that unifies what are usually presented as competing theories by locating both within the reflexive structure of the love commandment and grounding both in the Trinitarian character of the God in whose image every person involved in any act of justice is made.</w:t>
      </w:r>
    </w:p>
    <w:p w14:paraId="30ABE982" w14:textId="77777777" w:rsidR="003C4F15" w:rsidRPr="00850CC8" w:rsidRDefault="003C4F15" w:rsidP="00850CC8">
      <w:pPr>
        <w:spacing w:line="276" w:lineRule="auto"/>
        <w:rPr>
          <w:rFonts w:ascii="Times New Roman" w:hAnsi="Times New Roman" w:cs="Times New Roman"/>
          <w:sz w:val="22"/>
          <w:szCs w:val="22"/>
        </w:rPr>
      </w:pPr>
    </w:p>
    <w:p w14:paraId="4E29FD49" w14:textId="77777777" w:rsidR="003C4F15" w:rsidRPr="00850CC8" w:rsidRDefault="003C4F15"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Chapter Thirteen moves to the largest frame of all. The question it takes up is not how the relational framework applies to particular moral situations or to the theory of justice but what the whole moral enterprise is ultimately for. The answer this book has been building toward is that the moral life is a participation in the demonstration of who God is: that the world was created as a theatre of divine self-revelation, and that the life of persons formed in the image of the triune God, living in accordance with the relational vocation for which they were made, is a display of the character of the God whose image they bear. That claim, and what it means for how we understand the moral life in its entirety, is the subject of the final chapter.</w:t>
      </w:r>
    </w:p>
    <w:p w14:paraId="3BE6CA4A" w14:textId="77777777" w:rsidR="003C4F15" w:rsidRPr="00850CC8" w:rsidRDefault="003C4F15" w:rsidP="00850CC8">
      <w:pPr>
        <w:spacing w:line="276" w:lineRule="auto"/>
        <w:rPr>
          <w:rFonts w:ascii="Times New Roman" w:hAnsi="Times New Roman" w:cs="Times New Roman"/>
          <w:sz w:val="22"/>
          <w:szCs w:val="22"/>
        </w:rPr>
      </w:pPr>
    </w:p>
    <w:p w14:paraId="1FEB3A86" w14:textId="77777777" w:rsidR="003C4F15" w:rsidRPr="00850CC8" w:rsidRDefault="003C4F15" w:rsidP="00850CC8">
      <w:pPr>
        <w:spacing w:line="276" w:lineRule="auto"/>
        <w:rPr>
          <w:rFonts w:ascii="Times New Roman" w:hAnsi="Times New Roman" w:cs="Times New Roman"/>
          <w:sz w:val="22"/>
          <w:szCs w:val="22"/>
        </w:rPr>
      </w:pPr>
    </w:p>
    <w:p w14:paraId="1E30DEA7" w14:textId="77777777" w:rsidR="003C4F15" w:rsidRPr="00850CC8" w:rsidRDefault="003C4F15" w:rsidP="00850CC8">
      <w:pPr>
        <w:spacing w:before="480" w:after="240" w:line="276" w:lineRule="auto"/>
        <w:rPr>
          <w:rFonts w:ascii="Times New Roman" w:hAnsi="Times New Roman" w:cs="Times New Roman"/>
          <w:sz w:val="22"/>
          <w:szCs w:val="22"/>
        </w:rPr>
      </w:pPr>
      <w:r>
        <w:rPr>
          <w:rFonts w:ascii="Times New Roman" w:hAnsi="Times New Roman" w:cs="Times New Roman"/>
          <w:b/>
          <w:bCs/>
          <w:sz w:val="22"/>
          <w:szCs w:val="22"/>
        </w:rPr>
        <w:t>Notes</w:t>
      </w:r>
    </w:p>
    <w:p w14:paraId="53DA7A71" w14:textId="77777777" w:rsidR="003C4F15" w:rsidRPr="00850CC8" w:rsidRDefault="003C4F15" w:rsidP="00850CC8">
      <w:pPr>
        <w:spacing w:before="120" w:line="276" w:lineRule="auto"/>
        <w:ind w:firstLine="720"/>
        <w:jc w:val="both"/>
        <w:rPr>
          <w:rFonts w:ascii="Times New Roman" w:hAnsi="Times New Roman" w:cs="Times New Roman"/>
          <w:sz w:val="22"/>
          <w:szCs w:val="22"/>
        </w:rPr>
      </w:pPr>
      <w:r>
        <w:rPr>
          <w:rFonts w:ascii="Times New Roman" w:hAnsi="Times New Roman" w:cs="Times New Roman"/>
          <w:sz w:val="22"/>
          <w:szCs w:val="22"/>
        </w:rPr>
        <w:t xml:space="preserve">1. Immanuel Kant, </w:t>
      </w:r>
      <w:r>
        <w:rPr>
          <w:rFonts w:ascii="Times New Roman" w:hAnsi="Times New Roman" w:cs="Times New Roman"/>
          <w:i/>
          <w:iCs/>
          <w:sz w:val="22"/>
          <w:szCs w:val="22"/>
        </w:rPr>
        <w:t>The Metaphysics of Morals</w:t>
      </w:r>
      <w:r>
        <w:rPr>
          <w:rFonts w:ascii="Times New Roman" w:hAnsi="Times New Roman" w:cs="Times New Roman"/>
          <w:sz w:val="22"/>
          <w:szCs w:val="22"/>
        </w:rPr>
        <w:t xml:space="preserve">, trans. Mary Gregor (Cambridge: Cambridge University Press, 1996), 105–106 (Ak. 6:333). The passage quoted is from the section on penal law (Strafrecht), where Kant develops the retributive argument most explicitly. For a careful analysis of Kant’s retributivism and its relationship to his broader moral philosophy, see Jeffrey G. Murphy, </w:t>
      </w:r>
      <w:r>
        <w:rPr>
          <w:rFonts w:ascii="Times New Roman" w:hAnsi="Times New Roman" w:cs="Times New Roman"/>
          <w:i/>
          <w:iCs/>
          <w:sz w:val="22"/>
          <w:szCs w:val="22"/>
        </w:rPr>
        <w:t>Kant: The Philosophy of Right</w:t>
      </w:r>
      <w:r>
        <w:rPr>
          <w:rFonts w:ascii="Times New Roman" w:hAnsi="Times New Roman" w:cs="Times New Roman"/>
          <w:sz w:val="22"/>
          <w:szCs w:val="22"/>
        </w:rPr>
        <w:t xml:space="preserve"> (London: Macmillan, 1970), 140–162. The standard objection to Kant’s retributivism, that it treats punishment as intrinsically valuable apart from any benefit it produces, is developed in H. L. A. Hart, </w:t>
      </w:r>
      <w:r>
        <w:rPr>
          <w:rFonts w:ascii="Times New Roman" w:hAnsi="Times New Roman" w:cs="Times New Roman"/>
          <w:i/>
          <w:iCs/>
          <w:sz w:val="22"/>
          <w:szCs w:val="22"/>
        </w:rPr>
        <w:t>Punishment and Responsibility: Essays in the Philosophy of Law</w:t>
      </w:r>
      <w:r>
        <w:rPr>
          <w:rFonts w:ascii="Times New Roman" w:hAnsi="Times New Roman" w:cs="Times New Roman"/>
          <w:sz w:val="22"/>
          <w:szCs w:val="22"/>
        </w:rPr>
        <w:t>, 2nd ed. (Oxford: Oxford University Press, 2008), 1–27.</w:t>
      </w:r>
    </w:p>
    <w:p w14:paraId="7F982FB7" w14:textId="77777777" w:rsidR="003C4F15" w:rsidRPr="00850CC8" w:rsidRDefault="003C4F15" w:rsidP="00850CC8">
      <w:pPr>
        <w:spacing w:line="276" w:lineRule="auto"/>
        <w:rPr>
          <w:rFonts w:ascii="Times New Roman" w:hAnsi="Times New Roman" w:cs="Times New Roman"/>
          <w:sz w:val="22"/>
          <w:szCs w:val="22"/>
        </w:rPr>
      </w:pPr>
    </w:p>
    <w:p w14:paraId="0C6B8A8D" w14:textId="77777777" w:rsidR="003C4F15" w:rsidRPr="00850CC8" w:rsidRDefault="003C4F15" w:rsidP="00850CC8">
      <w:pPr>
        <w:spacing w:before="120" w:line="276" w:lineRule="auto"/>
        <w:ind w:firstLine="720"/>
        <w:jc w:val="both"/>
        <w:rPr>
          <w:rFonts w:ascii="Times New Roman" w:hAnsi="Times New Roman" w:cs="Times New Roman"/>
          <w:sz w:val="22"/>
          <w:szCs w:val="22"/>
        </w:rPr>
      </w:pPr>
      <w:r>
        <w:rPr>
          <w:rFonts w:ascii="Times New Roman" w:hAnsi="Times New Roman" w:cs="Times New Roman"/>
          <w:sz w:val="22"/>
          <w:szCs w:val="22"/>
        </w:rPr>
        <w:t xml:space="preserve">2. Nicholas Wolterstorff, </w:t>
      </w:r>
      <w:r>
        <w:rPr>
          <w:rFonts w:ascii="Times New Roman" w:hAnsi="Times New Roman" w:cs="Times New Roman"/>
          <w:i/>
          <w:iCs/>
          <w:sz w:val="22"/>
          <w:szCs w:val="22"/>
        </w:rPr>
        <w:t>Justice: Rights and Wrongs</w:t>
      </w:r>
      <w:r>
        <w:rPr>
          <w:rFonts w:ascii="Times New Roman" w:hAnsi="Times New Roman" w:cs="Times New Roman"/>
          <w:sz w:val="22"/>
          <w:szCs w:val="22"/>
        </w:rPr>
        <w:t xml:space="preserve"> (Princeton: Princeton University Press, 2008), 82–98. Wolterstorff’s argument that rights are grounded in the worth of persons rather than in social contracts or utility calculations is one of the most important contributions to the recent discussion of justice. His claim that the Christian theological tradition provides a more secure grounding for human rights than secular alternatives, because it roots the worth of persons in the image of God rather than in any contingent human achievement, is directly relevant to the argument of the present chapter.</w:t>
      </w:r>
    </w:p>
    <w:p w14:paraId="14AEFB7F" w14:textId="77777777" w:rsidR="003C4F15" w:rsidRPr="00850CC8" w:rsidRDefault="003C4F15" w:rsidP="00850CC8">
      <w:pPr>
        <w:spacing w:line="276" w:lineRule="auto"/>
        <w:rPr>
          <w:rFonts w:ascii="Times New Roman" w:hAnsi="Times New Roman" w:cs="Times New Roman"/>
          <w:sz w:val="22"/>
          <w:szCs w:val="22"/>
        </w:rPr>
      </w:pPr>
    </w:p>
    <w:p w14:paraId="17F2FA6D" w14:textId="77777777" w:rsidR="003C4F15" w:rsidRPr="00850CC8" w:rsidRDefault="003C4F15" w:rsidP="00850CC8">
      <w:pPr>
        <w:spacing w:before="120" w:line="276" w:lineRule="auto"/>
        <w:ind w:firstLine="720"/>
        <w:jc w:val="both"/>
        <w:rPr>
          <w:rFonts w:ascii="Times New Roman" w:hAnsi="Times New Roman" w:cs="Times New Roman"/>
          <w:sz w:val="22"/>
          <w:szCs w:val="22"/>
        </w:rPr>
      </w:pPr>
      <w:r>
        <w:rPr>
          <w:rFonts w:ascii="Times New Roman" w:hAnsi="Times New Roman" w:cs="Times New Roman"/>
          <w:sz w:val="22"/>
          <w:szCs w:val="22"/>
        </w:rPr>
        <w:lastRenderedPageBreak/>
        <w:t xml:space="preserve">3. Howard Zehr, </w:t>
      </w:r>
      <w:r>
        <w:rPr>
          <w:rFonts w:ascii="Times New Roman" w:hAnsi="Times New Roman" w:cs="Times New Roman"/>
          <w:i/>
          <w:iCs/>
          <w:sz w:val="22"/>
          <w:szCs w:val="22"/>
        </w:rPr>
        <w:t>Changing Lenses: Restorative Justice for Our Times</w:t>
      </w:r>
      <w:r>
        <w:rPr>
          <w:rFonts w:ascii="Times New Roman" w:hAnsi="Times New Roman" w:cs="Times New Roman"/>
          <w:sz w:val="22"/>
          <w:szCs w:val="22"/>
        </w:rPr>
        <w:t xml:space="preserve">, 25th anniversary ed. (Harrisonburg, VA: Herald Press, 2015), 181–186. Zehr’s contrast between the questions asked by conventional criminal justice and those asked by restorative justice has become the standard framing for introductions to the restorative justice movement. For a more recent and comprehensive treatment, see his </w:t>
      </w:r>
      <w:r>
        <w:rPr>
          <w:rFonts w:ascii="Times New Roman" w:hAnsi="Times New Roman" w:cs="Times New Roman"/>
          <w:i/>
          <w:iCs/>
          <w:sz w:val="22"/>
          <w:szCs w:val="22"/>
        </w:rPr>
        <w:t>The Little Book of Restorative Justice</w:t>
      </w:r>
      <w:r>
        <w:rPr>
          <w:rFonts w:ascii="Times New Roman" w:hAnsi="Times New Roman" w:cs="Times New Roman"/>
          <w:sz w:val="22"/>
          <w:szCs w:val="22"/>
        </w:rPr>
        <w:t xml:space="preserve">, rev. ed. (New York: Good Books, 2015). For a theological engagement with restorative justice that develops the connections between the movement’s insights and Christian theology, see Christopher D. Marshall, </w:t>
      </w:r>
      <w:r>
        <w:rPr>
          <w:rFonts w:ascii="Times New Roman" w:hAnsi="Times New Roman" w:cs="Times New Roman"/>
          <w:i/>
          <w:iCs/>
          <w:sz w:val="22"/>
          <w:szCs w:val="22"/>
        </w:rPr>
        <w:t>Beyond Retribution: A New Testament Vision for Justice, Crime, and Punishment</w:t>
      </w:r>
      <w:r>
        <w:rPr>
          <w:rFonts w:ascii="Times New Roman" w:hAnsi="Times New Roman" w:cs="Times New Roman"/>
          <w:sz w:val="22"/>
          <w:szCs w:val="22"/>
        </w:rPr>
        <w:t xml:space="preserve"> (Grand Rapids: Eerdmans, 2001), 35–71.</w:t>
      </w:r>
    </w:p>
    <w:p w14:paraId="5F7DDF6B" w14:textId="77777777" w:rsidR="003C4F15" w:rsidRPr="00850CC8" w:rsidRDefault="003C4F15" w:rsidP="00850CC8">
      <w:pPr>
        <w:spacing w:line="276" w:lineRule="auto"/>
        <w:rPr>
          <w:rFonts w:ascii="Times New Roman" w:hAnsi="Times New Roman" w:cs="Times New Roman"/>
          <w:sz w:val="22"/>
          <w:szCs w:val="22"/>
        </w:rPr>
      </w:pPr>
    </w:p>
    <w:p w14:paraId="7AF0F212" w14:textId="77777777" w:rsidR="003C4F15" w:rsidRPr="00850CC8" w:rsidRDefault="003C4F15" w:rsidP="00850CC8">
      <w:pPr>
        <w:spacing w:before="120" w:line="276" w:lineRule="auto"/>
        <w:ind w:firstLine="720"/>
        <w:jc w:val="both"/>
        <w:rPr>
          <w:rFonts w:ascii="Times New Roman" w:hAnsi="Times New Roman" w:cs="Times New Roman"/>
          <w:sz w:val="22"/>
          <w:szCs w:val="22"/>
        </w:rPr>
      </w:pPr>
      <w:r>
        <w:rPr>
          <w:rFonts w:ascii="Times New Roman" w:hAnsi="Times New Roman" w:cs="Times New Roman"/>
          <w:sz w:val="22"/>
          <w:szCs w:val="22"/>
        </w:rPr>
        <w:t xml:space="preserve">4. Miroslav Volf, </w:t>
      </w:r>
      <w:r>
        <w:rPr>
          <w:rFonts w:ascii="Times New Roman" w:hAnsi="Times New Roman" w:cs="Times New Roman"/>
          <w:i/>
          <w:iCs/>
          <w:sz w:val="22"/>
          <w:szCs w:val="22"/>
        </w:rPr>
        <w:t>Exclusion and Embrace: A Theological Exploration of Identity, Otherness, and Reconciliation</w:t>
      </w:r>
      <w:r>
        <w:rPr>
          <w:rFonts w:ascii="Times New Roman" w:hAnsi="Times New Roman" w:cs="Times New Roman"/>
          <w:sz w:val="22"/>
          <w:szCs w:val="22"/>
        </w:rPr>
        <w:t xml:space="preserve"> (Nashville: Abingdon Press, 1996), 100–126. Volf’s account of the will-to-embrace as the paradigmatic posture of Christian love toward the enemy is one of the most theologically rich treatments of reconciliation available. His insistence that real embrace requires the honest acknowledgment of what was done before the movement toward the other can be authentic is important for the present argument: the restorative movement does not bypass the retributive demand but presupposes its honest engagement.</w:t>
      </w:r>
    </w:p>
    <w:p w14:paraId="08839374" w14:textId="77777777" w:rsidR="003C4F15" w:rsidRPr="00850CC8" w:rsidRDefault="003C4F15" w:rsidP="00850CC8">
      <w:pPr>
        <w:spacing w:line="276" w:lineRule="auto"/>
        <w:rPr>
          <w:rFonts w:ascii="Times New Roman" w:hAnsi="Times New Roman" w:cs="Times New Roman"/>
          <w:sz w:val="22"/>
          <w:szCs w:val="22"/>
        </w:rPr>
      </w:pPr>
    </w:p>
    <w:p w14:paraId="3ABC86CF" w14:textId="77777777" w:rsidR="003C4F15" w:rsidRPr="00850CC8" w:rsidRDefault="003C4F15" w:rsidP="00850CC8">
      <w:pPr>
        <w:spacing w:before="120" w:line="276" w:lineRule="auto"/>
        <w:ind w:firstLine="720"/>
        <w:jc w:val="both"/>
        <w:rPr>
          <w:rFonts w:ascii="Times New Roman" w:hAnsi="Times New Roman" w:cs="Times New Roman"/>
          <w:sz w:val="22"/>
          <w:szCs w:val="22"/>
        </w:rPr>
      </w:pPr>
      <w:r>
        <w:rPr>
          <w:rFonts w:ascii="Times New Roman" w:hAnsi="Times New Roman" w:cs="Times New Roman"/>
          <w:sz w:val="22"/>
          <w:szCs w:val="22"/>
        </w:rPr>
        <w:t xml:space="preserve">5. René Girard, </w:t>
      </w:r>
      <w:r>
        <w:rPr>
          <w:rFonts w:ascii="Times New Roman" w:hAnsi="Times New Roman" w:cs="Times New Roman"/>
          <w:i/>
          <w:iCs/>
          <w:sz w:val="22"/>
          <w:szCs w:val="22"/>
        </w:rPr>
        <w:t>Violence and the Sacred</w:t>
      </w:r>
      <w:r>
        <w:rPr>
          <w:rFonts w:ascii="Times New Roman" w:hAnsi="Times New Roman" w:cs="Times New Roman"/>
          <w:sz w:val="22"/>
          <w:szCs w:val="22"/>
        </w:rPr>
        <w:t xml:space="preserve">, trans. Patrick Gregory (Baltimore: Johns Hopkins University Press, 1977), 14–19. Girard’s analysis of mimetic violence and its relationship to sacrificial ritual has generated extensive theological discussion. His argument that the unchecked logic of retribution tends to reproduce the violence it was meant to address, because each retaliatory act is experienced by the retaliating party as the initial act of justice, provides an important critical perspective on purely retributive accounts. For a theological engagement with Girard that is directly relevant to the present argument, see Volf, </w:t>
      </w:r>
      <w:r>
        <w:rPr>
          <w:rFonts w:ascii="Times New Roman" w:hAnsi="Times New Roman" w:cs="Times New Roman"/>
          <w:i/>
          <w:iCs/>
          <w:sz w:val="22"/>
          <w:szCs w:val="22"/>
        </w:rPr>
        <w:t>Exclusion and Embrace</w:t>
      </w:r>
      <w:r>
        <w:rPr>
          <w:rFonts w:ascii="Times New Roman" w:hAnsi="Times New Roman" w:cs="Times New Roman"/>
          <w:sz w:val="22"/>
          <w:szCs w:val="22"/>
        </w:rPr>
        <w:t>, 289–299.</w:t>
      </w:r>
    </w:p>
    <w:p w14:paraId="6D8C797B" w14:textId="77777777" w:rsidR="003C4F15" w:rsidRPr="00850CC8" w:rsidRDefault="003C4F15" w:rsidP="00850CC8">
      <w:pPr>
        <w:spacing w:line="276" w:lineRule="auto"/>
        <w:rPr>
          <w:rFonts w:ascii="Times New Roman" w:hAnsi="Times New Roman" w:cs="Times New Roman"/>
          <w:sz w:val="22"/>
          <w:szCs w:val="22"/>
        </w:rPr>
      </w:pPr>
    </w:p>
    <w:p w14:paraId="411D4C0F" w14:textId="77777777" w:rsidR="003C4F15" w:rsidRPr="00850CC8" w:rsidRDefault="003C4F15" w:rsidP="00850CC8">
      <w:pPr>
        <w:spacing w:before="120" w:line="276" w:lineRule="auto"/>
        <w:ind w:firstLine="720"/>
        <w:jc w:val="both"/>
        <w:rPr>
          <w:rFonts w:ascii="Times New Roman" w:hAnsi="Times New Roman" w:cs="Times New Roman"/>
          <w:sz w:val="22"/>
          <w:szCs w:val="22"/>
        </w:rPr>
      </w:pPr>
      <w:r>
        <w:rPr>
          <w:rFonts w:ascii="Times New Roman" w:hAnsi="Times New Roman" w:cs="Times New Roman"/>
          <w:sz w:val="22"/>
          <w:szCs w:val="22"/>
        </w:rPr>
        <w:t xml:space="preserve">6. Nicholas Wolterstorff, </w:t>
      </w:r>
      <w:r>
        <w:rPr>
          <w:rFonts w:ascii="Times New Roman" w:hAnsi="Times New Roman" w:cs="Times New Roman"/>
          <w:i/>
          <w:iCs/>
          <w:sz w:val="22"/>
          <w:szCs w:val="22"/>
        </w:rPr>
        <w:t>Justice in Love</w:t>
      </w:r>
      <w:r>
        <w:rPr>
          <w:rFonts w:ascii="Times New Roman" w:hAnsi="Times New Roman" w:cs="Times New Roman"/>
          <w:sz w:val="22"/>
          <w:szCs w:val="22"/>
        </w:rPr>
        <w:t xml:space="preserve"> (Grand Rapids: Eerdmans, 2011), 83–101. Wolterstorff’s argument in this book, which is in some respects a sequel to </w:t>
      </w:r>
      <w:r>
        <w:rPr>
          <w:rFonts w:ascii="Times New Roman" w:hAnsi="Times New Roman" w:cs="Times New Roman"/>
          <w:i/>
          <w:iCs/>
          <w:sz w:val="22"/>
          <w:szCs w:val="22"/>
        </w:rPr>
        <w:t>Justice: Rights and Wrongs</w:t>
      </w:r>
      <w:r>
        <w:rPr>
          <w:rFonts w:ascii="Times New Roman" w:hAnsi="Times New Roman" w:cs="Times New Roman"/>
          <w:sz w:val="22"/>
          <w:szCs w:val="22"/>
        </w:rPr>
        <w:t>, is that agapic love and justice are not in tension but that real love includes the insistence on justice for the wronged. His critique of what he calls “care agapism,” the view that love can bypass or subsume justice, is one of the most careful treatments of the relationship between the two concepts in recent theological ethics. The present chapter’s argument that both dimensions of justice are expressions of the same reflexive love is consistent with Wolterstorff’s position, though it develops the point from a more explicitly Trinitarian starting point.</w:t>
      </w:r>
    </w:p>
    <w:p w14:paraId="1BFBB657" w14:textId="77777777" w:rsidR="003C4F15" w:rsidRPr="00850CC8" w:rsidRDefault="003C4F15" w:rsidP="00850CC8">
      <w:pPr>
        <w:spacing w:line="276" w:lineRule="auto"/>
        <w:rPr>
          <w:rFonts w:ascii="Times New Roman" w:hAnsi="Times New Roman" w:cs="Times New Roman"/>
          <w:sz w:val="22"/>
          <w:szCs w:val="22"/>
        </w:rPr>
      </w:pPr>
    </w:p>
    <w:p w14:paraId="228EE7BF" w14:textId="77777777" w:rsidR="003C4F15" w:rsidRPr="00850CC8" w:rsidRDefault="003C4F15" w:rsidP="00850CC8">
      <w:pPr>
        <w:spacing w:before="120" w:line="276" w:lineRule="auto"/>
        <w:ind w:firstLine="720"/>
        <w:jc w:val="both"/>
        <w:rPr>
          <w:rFonts w:ascii="Times New Roman" w:hAnsi="Times New Roman" w:cs="Times New Roman"/>
          <w:sz w:val="22"/>
          <w:szCs w:val="22"/>
        </w:rPr>
      </w:pPr>
      <w:r>
        <w:rPr>
          <w:rFonts w:ascii="Times New Roman" w:hAnsi="Times New Roman" w:cs="Times New Roman"/>
          <w:sz w:val="22"/>
          <w:szCs w:val="22"/>
        </w:rPr>
        <w:t xml:space="preserve">7. The connection between the divine inclination toward mercy and the restorative dimension of justice is developed in Desmond Tutu, </w:t>
      </w:r>
      <w:r>
        <w:rPr>
          <w:rFonts w:ascii="Times New Roman" w:hAnsi="Times New Roman" w:cs="Times New Roman"/>
          <w:i/>
          <w:iCs/>
          <w:sz w:val="22"/>
          <w:szCs w:val="22"/>
        </w:rPr>
        <w:t>No Future Without Forgiveness</w:t>
      </w:r>
      <w:r>
        <w:rPr>
          <w:rFonts w:ascii="Times New Roman" w:hAnsi="Times New Roman" w:cs="Times New Roman"/>
          <w:sz w:val="22"/>
          <w:szCs w:val="22"/>
        </w:rPr>
        <w:t xml:space="preserve"> (New York: Doubleday, 1999), 54–72. Tutu’s account of the theological foundation of the South African Truth and Reconciliation Commission is directly relevant to the practical application of the integrated justice account: his insistence that real reconciliation requires honest acknowledgment of wrongdoing rather than amnesia, and that the goal of that acknowledgment is the restoration of ubuntu, the relational wholeness of persons in community, illustrates the way in which the retributive and restorative dimensions of justice operate together in practice.</w:t>
      </w:r>
    </w:p>
    <w:p w14:paraId="5F5D5071" w14:textId="77777777" w:rsidR="003C4F15" w:rsidRPr="00850CC8" w:rsidRDefault="003C4F15" w:rsidP="00850CC8">
      <w:pPr>
        <w:spacing w:line="276" w:lineRule="auto"/>
        <w:rPr>
          <w:rFonts w:ascii="Times New Roman" w:hAnsi="Times New Roman" w:cs="Times New Roman"/>
          <w:sz w:val="22"/>
          <w:szCs w:val="22"/>
        </w:rPr>
      </w:pPr>
    </w:p>
    <w:p w14:paraId="19E3F8E3" w14:textId="77777777" w:rsidR="003C4F15" w:rsidRPr="00850CC8" w:rsidRDefault="003C4F15" w:rsidP="00850CC8">
      <w:pPr>
        <w:spacing w:before="120" w:line="276" w:lineRule="auto"/>
        <w:ind w:firstLine="720"/>
        <w:jc w:val="both"/>
        <w:rPr>
          <w:rFonts w:ascii="Times New Roman" w:hAnsi="Times New Roman" w:cs="Times New Roman"/>
          <w:sz w:val="22"/>
          <w:szCs w:val="22"/>
        </w:rPr>
      </w:pPr>
      <w:r>
        <w:rPr>
          <w:rFonts w:ascii="Times New Roman" w:hAnsi="Times New Roman" w:cs="Times New Roman"/>
          <w:sz w:val="22"/>
          <w:szCs w:val="22"/>
        </w:rPr>
        <w:lastRenderedPageBreak/>
        <w:t xml:space="preserve">8. Karl Barth, </w:t>
      </w:r>
      <w:r>
        <w:rPr>
          <w:rFonts w:ascii="Times New Roman" w:hAnsi="Times New Roman" w:cs="Times New Roman"/>
          <w:i/>
          <w:iCs/>
          <w:sz w:val="22"/>
          <w:szCs w:val="22"/>
        </w:rPr>
        <w:t>Church Dogmatics</w:t>
      </w:r>
      <w:r>
        <w:rPr>
          <w:rFonts w:ascii="Times New Roman" w:hAnsi="Times New Roman" w:cs="Times New Roman"/>
          <w:sz w:val="22"/>
          <w:szCs w:val="22"/>
        </w:rPr>
        <w:t xml:space="preserve"> II/1, trans. T. H. L. Parker et al. (Edinburgh: T. &amp; T. Clark, 1957), 386–406. Barth’s analysis of the wrath of God as the form that love takes when it encounters the refusal of the creature is one of the most important contributions to twentieth-century discussions of divine justice and divine love. For a careful engagement with Barth’s account that develops its implications for the theology of atonement, see John Webster, </w:t>
      </w:r>
      <w:r>
        <w:rPr>
          <w:rFonts w:ascii="Times New Roman" w:hAnsi="Times New Roman" w:cs="Times New Roman"/>
          <w:i/>
          <w:iCs/>
          <w:sz w:val="22"/>
          <w:szCs w:val="22"/>
        </w:rPr>
        <w:t>Barth’s Ethics of Reconciliation</w:t>
      </w:r>
      <w:r>
        <w:rPr>
          <w:rFonts w:ascii="Times New Roman" w:hAnsi="Times New Roman" w:cs="Times New Roman"/>
          <w:sz w:val="22"/>
          <w:szCs w:val="22"/>
        </w:rPr>
        <w:t xml:space="preserve"> (Cambridge: Cambridge University Press, 1995), 99–127.</w:t>
      </w:r>
    </w:p>
    <w:p w14:paraId="59CFDD47" w14:textId="77777777" w:rsidR="003C4F15" w:rsidRPr="00850CC8" w:rsidRDefault="003C4F15" w:rsidP="00850CC8">
      <w:pPr>
        <w:spacing w:line="276" w:lineRule="auto"/>
        <w:rPr>
          <w:rFonts w:ascii="Times New Roman" w:hAnsi="Times New Roman" w:cs="Times New Roman"/>
          <w:sz w:val="22"/>
          <w:szCs w:val="22"/>
        </w:rPr>
      </w:pPr>
    </w:p>
    <w:p w14:paraId="1668CB35" w14:textId="77777777" w:rsidR="003C4F15" w:rsidRPr="00850CC8" w:rsidRDefault="003C4F15" w:rsidP="00850CC8">
      <w:pPr>
        <w:spacing w:before="120" w:line="276" w:lineRule="auto"/>
        <w:ind w:firstLine="720"/>
        <w:jc w:val="both"/>
        <w:rPr>
          <w:rFonts w:ascii="Times New Roman" w:hAnsi="Times New Roman" w:cs="Times New Roman"/>
          <w:sz w:val="22"/>
          <w:szCs w:val="22"/>
        </w:rPr>
      </w:pPr>
      <w:r>
        <w:rPr>
          <w:rFonts w:ascii="Times New Roman" w:hAnsi="Times New Roman" w:cs="Times New Roman"/>
          <w:sz w:val="22"/>
          <w:szCs w:val="22"/>
        </w:rPr>
        <w:t xml:space="preserve">9. The exegesis of Romans 3:25–26 is one of the most contested areas in Pauline scholarship. The key interpretive questions concern the meaning of </w:t>
      </w:r>
      <w:r>
        <w:rPr>
          <w:rFonts w:ascii="Times New Roman" w:hAnsi="Times New Roman" w:cs="Times New Roman"/>
          <w:i/>
          <w:iCs/>
          <w:sz w:val="22"/>
          <w:szCs w:val="22"/>
        </w:rPr>
        <w:t>hilasterion</w:t>
      </w:r>
      <w:r>
        <w:rPr>
          <w:rFonts w:ascii="Times New Roman" w:hAnsi="Times New Roman" w:cs="Times New Roman"/>
          <w:sz w:val="22"/>
          <w:szCs w:val="22"/>
        </w:rPr>
        <w:t xml:space="preserve"> (propitiation, expiation, or mercy seat) and the relationship between God’s justice and his act of justification. For a careful treatment that takes seriously both the retributive and restorative dimensions of Paul’s atonement theology, see Douglas J. Moo, </w:t>
      </w:r>
      <w:r>
        <w:rPr>
          <w:rFonts w:ascii="Times New Roman" w:hAnsi="Times New Roman" w:cs="Times New Roman"/>
          <w:i/>
          <w:iCs/>
          <w:sz w:val="22"/>
          <w:szCs w:val="22"/>
        </w:rPr>
        <w:t>The Epistle to the Romans</w:t>
      </w:r>
      <w:r>
        <w:rPr>
          <w:rFonts w:ascii="Times New Roman" w:hAnsi="Times New Roman" w:cs="Times New Roman"/>
          <w:sz w:val="22"/>
          <w:szCs w:val="22"/>
        </w:rPr>
        <w:t xml:space="preserve">, New International Commentary on the New Testament (Grand Rapids: Eerdmans, 1996), 231–239. For the argument that Paul’s language here draws on the Day of Atonement background and presents the cross as the definitive resolution of both the retributive and the covenantal dimensions of God’s dealing with human sin, see N. T. Wright, </w:t>
      </w:r>
      <w:r>
        <w:rPr>
          <w:rFonts w:ascii="Times New Roman" w:hAnsi="Times New Roman" w:cs="Times New Roman"/>
          <w:i/>
          <w:iCs/>
          <w:sz w:val="22"/>
          <w:szCs w:val="22"/>
        </w:rPr>
        <w:t>The Letter to the Romans</w:t>
      </w:r>
      <w:r>
        <w:rPr>
          <w:rFonts w:ascii="Times New Roman" w:hAnsi="Times New Roman" w:cs="Times New Roman"/>
          <w:sz w:val="22"/>
          <w:szCs w:val="22"/>
        </w:rPr>
        <w:t>, New Interpreter’s Bible (Nashville: Abingdon, 2002), 470–476.</w:t>
      </w:r>
    </w:p>
    <w:p w14:paraId="4D485EA2" w14:textId="77777777" w:rsidR="003C4F15" w:rsidRPr="00850CC8" w:rsidRDefault="003C4F15" w:rsidP="00850CC8">
      <w:pPr>
        <w:spacing w:line="276" w:lineRule="auto"/>
        <w:rPr>
          <w:rFonts w:ascii="Times New Roman" w:hAnsi="Times New Roman" w:cs="Times New Roman"/>
          <w:sz w:val="22"/>
          <w:szCs w:val="22"/>
        </w:rPr>
      </w:pPr>
    </w:p>
    <w:p w14:paraId="6C635766" w14:textId="77777777" w:rsidR="003C4F15" w:rsidRPr="00850CC8" w:rsidRDefault="003C4F15" w:rsidP="00850CC8">
      <w:pPr>
        <w:spacing w:before="120" w:line="276" w:lineRule="auto"/>
        <w:ind w:firstLine="720"/>
        <w:jc w:val="both"/>
        <w:rPr>
          <w:rFonts w:ascii="Times New Roman" w:hAnsi="Times New Roman" w:cs="Times New Roman"/>
          <w:sz w:val="22"/>
          <w:szCs w:val="22"/>
        </w:rPr>
      </w:pPr>
      <w:r>
        <w:rPr>
          <w:rFonts w:ascii="Times New Roman" w:hAnsi="Times New Roman" w:cs="Times New Roman"/>
          <w:sz w:val="22"/>
          <w:szCs w:val="22"/>
        </w:rPr>
        <w:t xml:space="preserve">10. Christopher D. Marshall, </w:t>
      </w:r>
      <w:r>
        <w:rPr>
          <w:rFonts w:ascii="Times New Roman" w:hAnsi="Times New Roman" w:cs="Times New Roman"/>
          <w:i/>
          <w:iCs/>
          <w:sz w:val="22"/>
          <w:szCs w:val="22"/>
        </w:rPr>
        <w:t>Beyond Retribution: A New Testament Vision for Justice, Crime, and Punishment</w:t>
      </w:r>
      <w:r>
        <w:rPr>
          <w:rFonts w:ascii="Times New Roman" w:hAnsi="Times New Roman" w:cs="Times New Roman"/>
          <w:sz w:val="22"/>
          <w:szCs w:val="22"/>
        </w:rPr>
        <w:t xml:space="preserve"> (Grand Rapids: Eerdmans, 2001), 188–228. Marshall’s argument that the New Testament holds retributive and restorative dimensions of justice together within a single theological vision, rather than choosing between them, is the most thorough treatment of this question in the literature. His account of the cross as the ground of both dimensions is developed with careful attention to the full range of New Testament atonement language, and his conclusion, that a purely retributive or a purely restorative reading of the cross fails to account for the full scope of what Paul and John are claiming, is well supported.</w:t>
      </w:r>
    </w:p>
    <w:p w14:paraId="3A1CC922" w14:textId="77777777" w:rsidR="003C4F15" w:rsidRPr="00850CC8" w:rsidRDefault="003C4F15" w:rsidP="00850CC8">
      <w:pPr>
        <w:spacing w:line="276" w:lineRule="auto"/>
        <w:rPr>
          <w:rFonts w:ascii="Times New Roman" w:hAnsi="Times New Roman" w:cs="Times New Roman"/>
          <w:sz w:val="22"/>
          <w:szCs w:val="22"/>
        </w:rPr>
      </w:pPr>
    </w:p>
    <w:p w14:paraId="7D5CF889" w14:textId="77777777" w:rsidR="003C4F15" w:rsidRPr="00850CC8" w:rsidRDefault="003C4F15" w:rsidP="00850CC8">
      <w:pPr>
        <w:spacing w:before="120" w:line="276" w:lineRule="auto"/>
        <w:ind w:firstLine="720"/>
        <w:jc w:val="both"/>
        <w:rPr>
          <w:rFonts w:ascii="Times New Roman" w:hAnsi="Times New Roman" w:cs="Times New Roman"/>
          <w:sz w:val="22"/>
          <w:szCs w:val="22"/>
        </w:rPr>
      </w:pPr>
      <w:r>
        <w:rPr>
          <w:rFonts w:ascii="Times New Roman" w:hAnsi="Times New Roman" w:cs="Times New Roman"/>
          <w:sz w:val="22"/>
          <w:szCs w:val="22"/>
        </w:rPr>
        <w:t xml:space="preserve">11. Volf, </w:t>
      </w:r>
      <w:r>
        <w:rPr>
          <w:rFonts w:ascii="Times New Roman" w:hAnsi="Times New Roman" w:cs="Times New Roman"/>
          <w:i/>
          <w:iCs/>
          <w:sz w:val="22"/>
          <w:szCs w:val="22"/>
        </w:rPr>
        <w:t>Exclusion and Embrace</w:t>
      </w:r>
      <w:r>
        <w:rPr>
          <w:rFonts w:ascii="Times New Roman" w:hAnsi="Times New Roman" w:cs="Times New Roman"/>
          <w:sz w:val="22"/>
          <w:szCs w:val="22"/>
        </w:rPr>
        <w:t xml:space="preserve">, 120–126. The distinction between forgiveness as a unilateral act and reconciliation as a bilateral achievement is one of the most practically important distinctions in the literature on reconciliation. For a philosophical development of the same distinction, see Charles Griswold, </w:t>
      </w:r>
      <w:r>
        <w:rPr>
          <w:rFonts w:ascii="Times New Roman" w:hAnsi="Times New Roman" w:cs="Times New Roman"/>
          <w:i/>
          <w:iCs/>
          <w:sz w:val="22"/>
          <w:szCs w:val="22"/>
        </w:rPr>
        <w:t>Forgiveness: A Philosophical Exploration</w:t>
      </w:r>
      <w:r>
        <w:rPr>
          <w:rFonts w:ascii="Times New Roman" w:hAnsi="Times New Roman" w:cs="Times New Roman"/>
          <w:sz w:val="22"/>
          <w:szCs w:val="22"/>
        </w:rPr>
        <w:t xml:space="preserve"> (Cambridge: Cambridge University Press, 2007), 47–73, who argues that forgiveness and reconciliation make different demands and can be pursued independently of each other, and that conflating them either makes forgiveness contingent on the offender’s response or makes reconciliation too easy by treating it as equivalent to the victim’s unilateral release.</w:t>
      </w:r>
    </w:p>
    <w:p w14:paraId="68858851" w14:textId="4EA7EB73" w:rsidR="00D90EB8" w:rsidRPr="00850CC8" w:rsidRDefault="00D90EB8" w:rsidP="00850CC8">
      <w:pPr>
        <w:spacing w:line="276" w:lineRule="auto"/>
        <w:rPr>
          <w:rFonts w:ascii="Times New Roman" w:hAnsi="Times New Roman" w:cs="Times New Roman"/>
          <w:sz w:val="22"/>
          <w:szCs w:val="22"/>
        </w:rPr>
      </w:pPr>
      <w:r>
        <w:rPr>
          <w:rFonts w:ascii="Times New Roman" w:hAnsi="Times New Roman" w:cs="Times New Roman"/>
          <w:sz w:val="22"/>
          <w:szCs w:val="22"/>
        </w:rPr>
        <w:br w:type="page"/>
      </w:r>
    </w:p>
    <w:p w14:paraId="709A5A19" w14:textId="77777777" w:rsidR="00D90EB8" w:rsidRPr="00850CC8" w:rsidRDefault="00D90EB8" w:rsidP="00850CC8">
      <w:pPr>
        <w:pStyle w:val="Heading1"/>
        <w:spacing w:line="276" w:lineRule="auto"/>
        <w:jc w:val="center"/>
        <w:rPr>
          <w:rFonts w:ascii="Times New Roman" w:hAnsi="Times New Roman" w:cs="Times New Roman"/>
          <w:color w:val="000000" w:themeColor="text1"/>
          <w:sz w:val="22"/>
          <w:szCs w:val="22"/>
        </w:rPr>
      </w:pPr>
      <w:bookmarkStart w:id="51" w:name="_Toc228335857"/>
      <w:r>
        <w:rPr>
          <w:rFonts w:ascii="Times New Roman" w:hAnsi="Times New Roman" w:cs="Times New Roman"/>
          <w:color w:val="000000" w:themeColor="text1"/>
          <w:sz w:val="22"/>
          <w:szCs w:val="22"/>
        </w:rPr>
        <w:lastRenderedPageBreak/>
        <w:t>Chapter Thirteen</w:t>
        <w:br/>
        <w:t>The Theatre and the Prior Love</w:t>
      </w:r>
      <w:bookmarkEnd w:id="51"/>
    </w:p>
    <w:p w14:paraId="6C7F5196" w14:textId="77777777" w:rsidR="00D90EB8" w:rsidRPr="00850CC8" w:rsidRDefault="00D90EB8" w:rsidP="00850CC8">
      <w:pPr>
        <w:pStyle w:val="Heading1"/>
        <w:spacing w:line="276" w:lineRule="auto"/>
        <w:jc w:val="center"/>
        <w:rPr>
          <w:rFonts w:ascii="Times New Roman" w:hAnsi="Times New Roman" w:cs="Times New Roman"/>
          <w:color w:val="000000" w:themeColor="text1"/>
          <w:sz w:val="22"/>
          <w:szCs w:val="22"/>
        </w:rPr>
      </w:pPr>
    </w:p>
    <w:p w14:paraId="6B69E5E5" w14:textId="77777777" w:rsidR="00D90EB8" w:rsidRPr="00850CC8" w:rsidRDefault="00D90EB8" w:rsidP="00850CC8">
      <w:pPr>
        <w:spacing w:line="276" w:lineRule="auto"/>
        <w:jc w:val="both"/>
        <w:rPr>
          <w:rFonts w:ascii="Times New Roman" w:hAnsi="Times New Roman" w:cs="Times New Roman"/>
          <w:sz w:val="22"/>
          <w:szCs w:val="22"/>
        </w:rPr>
      </w:pPr>
      <w:r>
        <w:rPr>
          <w:rFonts w:ascii="Times New Roman" w:hAnsi="Times New Roman" w:cs="Times New Roman"/>
          <w:sz w:val="22"/>
          <w:szCs w:val="22"/>
        </w:rPr>
        <w:t>There is a question that has been present throughout this book without being directly asked. It is the question behind the question of ethics: not what should I do, or even why should I do it, but what is the whole enterprise for? What is the moral life in service of? What is the point of the long, difficult, often defeated effort of creatures who know what they are made for and find themselves falling short of it, who receive a prior love and respond to it imperfectly, who work toward justice and find it always partially achieved and partially refused?</w:t>
      </w:r>
    </w:p>
    <w:p w14:paraId="58A56C83" w14:textId="77777777" w:rsidR="00D90EB8" w:rsidRPr="00850CC8" w:rsidRDefault="00D90EB8" w:rsidP="00850CC8">
      <w:pPr>
        <w:spacing w:line="276" w:lineRule="auto"/>
        <w:rPr>
          <w:rFonts w:ascii="Times New Roman" w:hAnsi="Times New Roman" w:cs="Times New Roman"/>
          <w:sz w:val="22"/>
          <w:szCs w:val="22"/>
        </w:rPr>
      </w:pPr>
    </w:p>
    <w:p w14:paraId="5D40D433" w14:textId="77777777" w:rsidR="00D90EB8" w:rsidRPr="00850CC8" w:rsidRDefault="00D90EB8"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This chapter takes that question seriously. The answer it proposes is not modest, and it will take some care to state it without overstating it. The proposal is this: that the moral life is a participation in the demonstration of who God is. That the world was created as a theatre of divine self-revelation, a space in which the character of the triune God is displayed through the lives of creatures made to bear his image. That when image-bearing creatures live in accordance with the relational vocation for which they were made, they are not merely fulfilling an obligation or achieving a personal good, though they are doing both. They are contributing, in their creaturely and always partial way, to the display of a character that the creation was brought into existence to make visible.</w:t>
      </w:r>
    </w:p>
    <w:p w14:paraId="1B1996F9" w14:textId="77777777" w:rsidR="00D90EB8" w:rsidRPr="00850CC8" w:rsidRDefault="00D90EB8" w:rsidP="00850CC8">
      <w:pPr>
        <w:spacing w:line="276" w:lineRule="auto"/>
        <w:rPr>
          <w:rFonts w:ascii="Times New Roman" w:hAnsi="Times New Roman" w:cs="Times New Roman"/>
          <w:sz w:val="22"/>
          <w:szCs w:val="22"/>
        </w:rPr>
      </w:pPr>
    </w:p>
    <w:p w14:paraId="3FC19E42" w14:textId="77777777" w:rsidR="00D90EB8" w:rsidRPr="00850CC8" w:rsidRDefault="00D90EB8"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This is a large claim, and it deserves the care it requires. The theatre metaphor in particular needs to be handled with precision, because it can suggest things that the argument does not intend: that the moral life is a performance for an audience, that sincerity is less important than appearance, that God is a spectator rather than the one whose character is being displayed. None of these things is what is being argued. What is being argued is closer to what Calvin meant when he described the created world as the theatre of God’s glory: not a stage on which God watches creatures perform, but a space in which the reality of who God is becomes visible in and through the creaturely life that his prior love has called into being.</w:t>
      </w:r>
    </w:p>
    <w:p w14:paraId="01E10E9D" w14:textId="77777777" w:rsidR="00D90EB8" w:rsidRPr="00850CC8" w:rsidRDefault="00D90EB8" w:rsidP="00850CC8">
      <w:pPr>
        <w:spacing w:line="276" w:lineRule="auto"/>
        <w:rPr>
          <w:rFonts w:ascii="Times New Roman" w:hAnsi="Times New Roman" w:cs="Times New Roman"/>
          <w:sz w:val="22"/>
          <w:szCs w:val="22"/>
        </w:rPr>
      </w:pPr>
    </w:p>
    <w:p w14:paraId="31FA5F33" w14:textId="77777777" w:rsidR="00D90EB8" w:rsidRPr="00850CC8" w:rsidRDefault="00D90EB8" w:rsidP="00850CC8">
      <w:pPr>
        <w:spacing w:before="480" w:after="240" w:line="276" w:lineRule="auto"/>
        <w:rPr>
          <w:rFonts w:ascii="Times New Roman" w:hAnsi="Times New Roman" w:cs="Times New Roman"/>
          <w:sz w:val="22"/>
          <w:szCs w:val="22"/>
        </w:rPr>
      </w:pPr>
      <w:r>
        <w:rPr>
          <w:rFonts w:ascii="Times New Roman" w:hAnsi="Times New Roman" w:cs="Times New Roman"/>
          <w:b/>
          <w:bCs/>
          <w:sz w:val="22"/>
          <w:szCs w:val="22"/>
        </w:rPr>
        <w:t>Calvin’s Theatre and Its Limits</w:t>
      </w:r>
    </w:p>
    <w:p w14:paraId="6D22E9EA" w14:textId="77777777" w:rsidR="00D90EB8" w:rsidRPr="00850CC8" w:rsidRDefault="00D90EB8" w:rsidP="00850CC8">
      <w:pPr>
        <w:spacing w:line="276" w:lineRule="auto"/>
        <w:jc w:val="both"/>
        <w:rPr>
          <w:rFonts w:ascii="Times New Roman" w:hAnsi="Times New Roman" w:cs="Times New Roman"/>
          <w:sz w:val="22"/>
          <w:szCs w:val="22"/>
        </w:rPr>
      </w:pPr>
      <w:r>
        <w:rPr>
          <w:rFonts w:ascii="Times New Roman" w:hAnsi="Times New Roman" w:cs="Times New Roman"/>
          <w:sz w:val="22"/>
          <w:szCs w:val="22"/>
        </w:rPr>
        <w:t>John Calvin used the image of the theatre to describe the created world repeatedly across the Institutes and the commentaries. His point was not primarily aesthetic. It was epistemological: the created world is the medium through which the knowledge of God that would otherwise remain inaccessible to human minds becomes visible and apprehensible. “This skillful ordering of the universe is for us a sort of mirror in which we can contemplate God, who is otherwise invisible.” The world is a theatre of God’s glory in the sense that it is the place where what God is becomes, within creaturely limits, knowable.</w:t>
      </w:r>
    </w:p>
    <w:p w14:paraId="6F74A44D" w14:textId="77777777" w:rsidR="00D90EB8" w:rsidRPr="00850CC8" w:rsidRDefault="00D90EB8" w:rsidP="00850CC8">
      <w:pPr>
        <w:spacing w:line="276" w:lineRule="auto"/>
        <w:rPr>
          <w:rFonts w:ascii="Times New Roman" w:hAnsi="Times New Roman" w:cs="Times New Roman"/>
          <w:sz w:val="22"/>
          <w:szCs w:val="22"/>
        </w:rPr>
      </w:pPr>
    </w:p>
    <w:p w14:paraId="68D00632" w14:textId="77777777" w:rsidR="00D90EB8" w:rsidRPr="00850CC8" w:rsidRDefault="00D90EB8"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 xml:space="preserve">Calvin’s use of the image has been carefully analyzed by Susan Schreiner, whose study of his cosmology traces the theatre metaphor through his entire corpus. Her conclusion is that the image functions for Calvin primarily as an account of general revelation: the theatre is the world as it presents itself to any observer who attends carefully to its structure and beauty, and what it reveals is the power, wisdom, and </w:t>
        <w:lastRenderedPageBreak/>
        <w:t>goodness of God that the creation everywhere displays.</w:t>
      </w:r>
      <w:r>
        <w:rPr>
          <w:rFonts w:ascii="Times New Roman" w:hAnsi="Times New Roman" w:cs="Times New Roman"/>
          <w:sz w:val="22"/>
          <w:szCs w:val="22"/>
          <w:vertAlign w:val="superscript"/>
        </w:rPr>
        <w:t>1</w:t>
      </w:r>
      <w:r>
        <w:rPr>
          <w:rFonts w:ascii="Times New Roman" w:hAnsi="Times New Roman" w:cs="Times New Roman"/>
          <w:sz w:val="22"/>
          <w:szCs w:val="22"/>
        </w:rPr>
        <w:t xml:space="preserve"> This is an important dimension of the argument, and it will be developed below. But it is not the whole of what the present chapter wants to say.</w:t>
      </w:r>
    </w:p>
    <w:p w14:paraId="0F8A9F7B" w14:textId="77777777" w:rsidR="00D90EB8" w:rsidRPr="00850CC8" w:rsidRDefault="00D90EB8" w:rsidP="00850CC8">
      <w:pPr>
        <w:spacing w:line="276" w:lineRule="auto"/>
        <w:rPr>
          <w:rFonts w:ascii="Times New Roman" w:hAnsi="Times New Roman" w:cs="Times New Roman"/>
          <w:sz w:val="22"/>
          <w:szCs w:val="22"/>
        </w:rPr>
      </w:pPr>
    </w:p>
    <w:p w14:paraId="5414FA10" w14:textId="77777777" w:rsidR="00D90EB8" w:rsidRPr="00850CC8" w:rsidRDefault="00D90EB8"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The limitation of Calvin’s theatre image, as he uses it, is that it tends to be primarily receptive: the world displays, and human observers receive. The moral dimension of the image, the way in which the lives of image-bearing creatures are themselves part of what the theatre displays, is present in Calvin but not developed with the same consistency as the natural revelation dimension. What the present argument adds is precisely this: that the image-bearers who inhabit the theatre are not merely its audience. They are, by virtue of the image they bear, participants in what the theatre is displaying. The moral life of a creature formed in the image of the triune God is itself a part of the theatre’s content.</w:t>
      </w:r>
    </w:p>
    <w:p w14:paraId="43CA237C" w14:textId="77777777" w:rsidR="00D90EB8" w:rsidRPr="00850CC8" w:rsidRDefault="00D90EB8" w:rsidP="00850CC8">
      <w:pPr>
        <w:spacing w:line="276" w:lineRule="auto"/>
        <w:rPr>
          <w:rFonts w:ascii="Times New Roman" w:hAnsi="Times New Roman" w:cs="Times New Roman"/>
          <w:sz w:val="22"/>
          <w:szCs w:val="22"/>
        </w:rPr>
      </w:pPr>
    </w:p>
    <w:p w14:paraId="3CC02690" w14:textId="77777777" w:rsidR="00D90EB8" w:rsidRPr="00850CC8" w:rsidRDefault="00D90EB8" w:rsidP="00850CC8">
      <w:pPr>
        <w:spacing w:before="480" w:after="240" w:line="276" w:lineRule="auto"/>
        <w:rPr>
          <w:rFonts w:ascii="Times New Roman" w:hAnsi="Times New Roman" w:cs="Times New Roman"/>
          <w:sz w:val="22"/>
          <w:szCs w:val="22"/>
        </w:rPr>
      </w:pPr>
      <w:r>
        <w:rPr>
          <w:rFonts w:ascii="Times New Roman" w:hAnsi="Times New Roman" w:cs="Times New Roman"/>
          <w:b/>
          <w:bCs/>
          <w:sz w:val="22"/>
          <w:szCs w:val="22"/>
        </w:rPr>
        <w:t>Jonathan Edwards and the End of Creation</w:t>
      </w:r>
    </w:p>
    <w:p w14:paraId="329425F9" w14:textId="77777777" w:rsidR="00D90EB8" w:rsidRPr="00850CC8" w:rsidRDefault="00D90EB8" w:rsidP="00850CC8">
      <w:pPr>
        <w:spacing w:line="276" w:lineRule="auto"/>
        <w:jc w:val="both"/>
        <w:rPr>
          <w:rFonts w:ascii="Times New Roman" w:hAnsi="Times New Roman" w:cs="Times New Roman"/>
          <w:sz w:val="22"/>
          <w:szCs w:val="22"/>
        </w:rPr>
      </w:pPr>
      <w:r>
        <w:rPr>
          <w:rFonts w:ascii="Times New Roman" w:hAnsi="Times New Roman" w:cs="Times New Roman"/>
          <w:sz w:val="22"/>
          <w:szCs w:val="22"/>
        </w:rPr>
        <w:t>Jonathan Edwards pressed the question of what the creation is for further than almost any other theologian in the English-speaking tradition, and his answer bears directly on the argument of this chapter.</w:t>
      </w:r>
    </w:p>
    <w:p w14:paraId="78819C1E" w14:textId="77777777" w:rsidR="00D90EB8" w:rsidRPr="00850CC8" w:rsidRDefault="00D90EB8" w:rsidP="00850CC8">
      <w:pPr>
        <w:spacing w:line="276" w:lineRule="auto"/>
        <w:rPr>
          <w:rFonts w:ascii="Times New Roman" w:hAnsi="Times New Roman" w:cs="Times New Roman"/>
          <w:sz w:val="22"/>
          <w:szCs w:val="22"/>
        </w:rPr>
      </w:pPr>
    </w:p>
    <w:p w14:paraId="1F4F22DC" w14:textId="77777777" w:rsidR="00D90EB8" w:rsidRPr="00850CC8" w:rsidRDefault="00D90EB8"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His dissertation “Concerning the End for Which God Created the World” argues that God’s ultimate end in creation is his own glory, understood not as a self-centered accumulation of honor but as the communication of his own fullness to creatures capable of receiving and reflecting it. “The beams of glory come from God, and are something of God, and are refunded back again to their original. So that the whole is of God, and in God, and to God, and God is the beginning, middle and end in this affair.”</w:t>
      </w:r>
      <w:r>
        <w:rPr>
          <w:rFonts w:ascii="Times New Roman" w:hAnsi="Times New Roman" w:cs="Times New Roman"/>
          <w:sz w:val="22"/>
          <w:szCs w:val="22"/>
          <w:vertAlign w:val="superscript"/>
        </w:rPr>
        <w:t>2</w:t>
      </w:r>
      <w:r>
        <w:rPr>
          <w:rFonts w:ascii="Times New Roman" w:hAnsi="Times New Roman" w:cs="Times New Roman"/>
          <w:sz w:val="22"/>
          <w:szCs w:val="22"/>
        </w:rPr>
        <w:t xml:space="preserve"> What Edwards describes is precisely the prior self-giving structure that this book has been tracing from the beginning: the love that constitutes the Trinitarian life does not remain contained within the divine life but pours itself outward into the creation, and the creation’s proper response is to reflect that love back to its source, in the way that a mirror reflects rather than generates the light it receives.</w:t>
      </w:r>
    </w:p>
    <w:p w14:paraId="39F9246B" w14:textId="77777777" w:rsidR="00D90EB8" w:rsidRPr="00850CC8" w:rsidRDefault="00D90EB8" w:rsidP="00850CC8">
      <w:pPr>
        <w:spacing w:line="276" w:lineRule="auto"/>
        <w:rPr>
          <w:rFonts w:ascii="Times New Roman" w:hAnsi="Times New Roman" w:cs="Times New Roman"/>
          <w:sz w:val="22"/>
          <w:szCs w:val="22"/>
        </w:rPr>
      </w:pPr>
    </w:p>
    <w:p w14:paraId="25F6F630" w14:textId="77777777" w:rsidR="00D90EB8" w:rsidRPr="00850CC8" w:rsidRDefault="00D90EB8"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Edwards’s account of the end of creation has been criticized on the grounds that it seems to make the creation merely instrumental to God’s self-glorification, as though God created the world in order to receive something he lacked. Edwards anticipated and addressed this objection: the divine fullness does not increase through the creation’s response, because the divine fullness is already complete and cannot be augmented. What increases is the creaturely participation in and reflection of that fullness, which is not a benefit to God in the sense of supplying a deficiency but an expression of the goodness that flows freely from a life already complete in itself.</w:t>
      </w:r>
    </w:p>
    <w:p w14:paraId="0E4F56B3" w14:textId="77777777" w:rsidR="00D90EB8" w:rsidRPr="00850CC8" w:rsidRDefault="00D90EB8" w:rsidP="00850CC8">
      <w:pPr>
        <w:spacing w:line="276" w:lineRule="auto"/>
        <w:rPr>
          <w:rFonts w:ascii="Times New Roman" w:hAnsi="Times New Roman" w:cs="Times New Roman"/>
          <w:sz w:val="22"/>
          <w:szCs w:val="22"/>
        </w:rPr>
      </w:pPr>
    </w:p>
    <w:p w14:paraId="14BDBA8A" w14:textId="77777777" w:rsidR="00D90EB8" w:rsidRPr="00850CC8" w:rsidRDefault="00D90EB8"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The connection between Edwards’s account and the Trinitarian theology of Chapter Two is direct. The perichoretic love of the Trinity, described there as the eternal mutual self-giving of Father, Son, and Spirit, is the original form of the self-giving love that creation expresses. God did not create the world because the Trinitarian love was insufficient to itself and needed creaturely amplification. God created the world because the Trinitarian love is, by its very nature, self-giving and communicative, and the creation is the expression of that self-giving generosity extended beyond the inner life of God to a realm of creatures capable of receiving and reflecting it.</w:t>
      </w:r>
    </w:p>
    <w:p w14:paraId="4DAA0BBC" w14:textId="77777777" w:rsidR="00D90EB8" w:rsidRPr="00850CC8" w:rsidRDefault="00D90EB8" w:rsidP="00850CC8">
      <w:pPr>
        <w:spacing w:line="276" w:lineRule="auto"/>
        <w:rPr>
          <w:rFonts w:ascii="Times New Roman" w:hAnsi="Times New Roman" w:cs="Times New Roman"/>
          <w:sz w:val="22"/>
          <w:szCs w:val="22"/>
        </w:rPr>
      </w:pPr>
    </w:p>
    <w:p w14:paraId="0F910FB4" w14:textId="77777777" w:rsidR="00D90EB8" w:rsidRPr="00850CC8" w:rsidRDefault="00D90EB8" w:rsidP="00850CC8">
      <w:pPr>
        <w:spacing w:before="480" w:after="240" w:line="276" w:lineRule="auto"/>
        <w:rPr>
          <w:rFonts w:ascii="Times New Roman" w:hAnsi="Times New Roman" w:cs="Times New Roman"/>
          <w:sz w:val="22"/>
          <w:szCs w:val="22"/>
        </w:rPr>
      </w:pPr>
      <w:r>
        <w:rPr>
          <w:rFonts w:ascii="Times New Roman" w:hAnsi="Times New Roman" w:cs="Times New Roman"/>
          <w:b/>
          <w:bCs/>
          <w:sz w:val="22"/>
          <w:szCs w:val="22"/>
        </w:rPr>
        <w:lastRenderedPageBreak/>
        <w:t>The Biblical Frame: Creation as Display</w:t>
      </w:r>
    </w:p>
    <w:p w14:paraId="4B142F27" w14:textId="77777777" w:rsidR="00D90EB8" w:rsidRPr="00850CC8" w:rsidRDefault="00D90EB8" w:rsidP="00850CC8">
      <w:pPr>
        <w:spacing w:line="276" w:lineRule="auto"/>
        <w:jc w:val="both"/>
        <w:rPr>
          <w:rFonts w:ascii="Times New Roman" w:hAnsi="Times New Roman" w:cs="Times New Roman"/>
          <w:sz w:val="22"/>
          <w:szCs w:val="22"/>
        </w:rPr>
      </w:pPr>
      <w:r>
        <w:rPr>
          <w:rFonts w:ascii="Times New Roman" w:hAnsi="Times New Roman" w:cs="Times New Roman"/>
          <w:sz w:val="22"/>
          <w:szCs w:val="22"/>
        </w:rPr>
        <w:t>The theatre image, understood in the way the present argument intends, finds extensive support in the biblical narrative, though the image itself is more implicit than explicit in most of the relevant texts.</w:t>
      </w:r>
    </w:p>
    <w:p w14:paraId="6061BEF0" w14:textId="77777777" w:rsidR="00D90EB8" w:rsidRPr="00850CC8" w:rsidRDefault="00D90EB8" w:rsidP="00850CC8">
      <w:pPr>
        <w:spacing w:line="276" w:lineRule="auto"/>
        <w:rPr>
          <w:rFonts w:ascii="Times New Roman" w:hAnsi="Times New Roman" w:cs="Times New Roman"/>
          <w:sz w:val="22"/>
          <w:szCs w:val="22"/>
        </w:rPr>
      </w:pPr>
    </w:p>
    <w:p w14:paraId="20E6D9E0" w14:textId="77777777" w:rsidR="00D90EB8" w:rsidRPr="00850CC8" w:rsidRDefault="00D90EB8"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The most direct statement of the claim is in Ephesians 3:10, where Paul describes the purpose of the church’s existence in terms that reach beyond anything merely anthropological: “so that through the church the manifold wisdom of God might now be made known to the rulers and authorities in the heavenly places.” The church, the community of persons being conformed to the image of Christ, is presented here as the means by which the wisdom of God is displayed to an audience that includes not only human observers but the “rulers and authorities in the heavenly places,” the members of the divine council whose existence Chapter Seven briefly examined.</w:t>
      </w:r>
      <w:r>
        <w:rPr>
          <w:rFonts w:ascii="Times New Roman" w:hAnsi="Times New Roman" w:cs="Times New Roman"/>
          <w:sz w:val="22"/>
          <w:szCs w:val="22"/>
          <w:vertAlign w:val="superscript"/>
        </w:rPr>
        <w:t>3</w:t>
      </w:r>
      <w:r>
        <w:rPr>
          <w:rFonts w:ascii="Times New Roman" w:hAnsi="Times New Roman" w:cs="Times New Roman"/>
          <w:sz w:val="22"/>
          <w:szCs w:val="22"/>
        </w:rPr>
        <w:t xml:space="preserve"> The moral and communal life of the people of God is a demonstration directed not only toward the human world but toward the cosmic order.</w:t>
      </w:r>
    </w:p>
    <w:p w14:paraId="5341344D" w14:textId="77777777" w:rsidR="00D90EB8" w:rsidRPr="00850CC8" w:rsidRDefault="00D90EB8" w:rsidP="00850CC8">
      <w:pPr>
        <w:spacing w:line="276" w:lineRule="auto"/>
        <w:rPr>
          <w:rFonts w:ascii="Times New Roman" w:hAnsi="Times New Roman" w:cs="Times New Roman"/>
          <w:sz w:val="22"/>
          <w:szCs w:val="22"/>
        </w:rPr>
      </w:pPr>
    </w:p>
    <w:p w14:paraId="07804438" w14:textId="77777777" w:rsidR="00D90EB8" w:rsidRPr="00850CC8" w:rsidRDefault="00D90EB8"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The book of Job presents a version of the same claim in narrative rather than argumentative form. The prologue of Job places the suffering of a righteous man within a frame that most of the book’s human participants cannot see: the divine council, before which the satan challenges whether Job’s faithfulness is authentic or merely the product of divine protection. The suffering Job endures is, within the narrative’s own logic, a demonstration: it answers the challenge by displaying a faithfulness that persists in the absence of the conditions that, on the challenger’s account, were its only cause. The life of a particular human being, lived faithfully under conditions of extreme adversity, is presented as evidence in a cosmic argument about the character of God and the nature of authentic creaturely response to that character.</w:t>
      </w:r>
    </w:p>
    <w:p w14:paraId="5EC5CE71" w14:textId="77777777" w:rsidR="00D90EB8" w:rsidRPr="00850CC8" w:rsidRDefault="00D90EB8" w:rsidP="00850CC8">
      <w:pPr>
        <w:spacing w:line="276" w:lineRule="auto"/>
        <w:rPr>
          <w:rFonts w:ascii="Times New Roman" w:hAnsi="Times New Roman" w:cs="Times New Roman"/>
          <w:sz w:val="22"/>
          <w:szCs w:val="22"/>
        </w:rPr>
      </w:pPr>
    </w:p>
    <w:p w14:paraId="658DA46F" w14:textId="77777777" w:rsidR="00D90EB8" w:rsidRPr="00850CC8" w:rsidRDefault="00D90EB8"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Psalm 19 holds together the two dimensions of the theatre, the natural and the moral, in a structure that illuminates their relationship. The first half of the psalm describes the heavens declaring the glory of God, the wordless speech of the created order that carries the knowledge of God across every linguistic boundary. The second half turns to the law of the LORD, whose perfection, righteousness, and truth restore the soul, enlighten the eyes, and endure forever. The psalm does not merely juxtapose natural and moral revelation. It presents them as two registers of a single reality: the same glory that the created order displays in its structure and beauty is displayed in the moral order of the commandments, and both are expressions of the character of the God who is their source.</w:t>
      </w:r>
      <w:r>
        <w:rPr>
          <w:rFonts w:ascii="Times New Roman" w:hAnsi="Times New Roman" w:cs="Times New Roman"/>
          <w:sz w:val="22"/>
          <w:szCs w:val="22"/>
          <w:vertAlign w:val="superscript"/>
        </w:rPr>
        <w:t>4</w:t>
      </w:r>
    </w:p>
    <w:p w14:paraId="05EA18EF" w14:textId="77777777" w:rsidR="00D90EB8" w:rsidRPr="00850CC8" w:rsidRDefault="00D90EB8" w:rsidP="00850CC8">
      <w:pPr>
        <w:spacing w:line="276" w:lineRule="auto"/>
        <w:rPr>
          <w:rFonts w:ascii="Times New Roman" w:hAnsi="Times New Roman" w:cs="Times New Roman"/>
          <w:sz w:val="22"/>
          <w:szCs w:val="22"/>
        </w:rPr>
      </w:pPr>
    </w:p>
    <w:p w14:paraId="00CB3DCD" w14:textId="77777777" w:rsidR="00D90EB8" w:rsidRPr="00850CC8" w:rsidRDefault="00D90EB8"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Romans 8:19–21 adds the eschatological dimension that completes the picture. The creation itself, Paul says, waits with eager longing for the revealing of the sons of God, because the creation was subjected to futility in hope that it will be set free from its bondage to corruption and obtain the freedom of the glory of the children of God. The liberation of the creation is tied to the full manifestation of what image-bearing creatures are made to be. The theatre in which the prior self-giving love of God is displayed is not simply the present order of creation in its current condition. It is the creation moving toward the eschatological renewal in which the display will be complete and unobstructed.</w:t>
      </w:r>
    </w:p>
    <w:p w14:paraId="100EA510" w14:textId="77777777" w:rsidR="00D90EB8" w:rsidRPr="00850CC8" w:rsidRDefault="00D90EB8" w:rsidP="00850CC8">
      <w:pPr>
        <w:spacing w:line="276" w:lineRule="auto"/>
        <w:rPr>
          <w:rFonts w:ascii="Times New Roman" w:hAnsi="Times New Roman" w:cs="Times New Roman"/>
          <w:sz w:val="22"/>
          <w:szCs w:val="22"/>
        </w:rPr>
      </w:pPr>
    </w:p>
    <w:p w14:paraId="1CDF0426" w14:textId="77777777" w:rsidR="00D90EB8" w:rsidRPr="00850CC8" w:rsidRDefault="00D90EB8" w:rsidP="00850CC8">
      <w:pPr>
        <w:spacing w:before="480" w:after="240" w:line="276" w:lineRule="auto"/>
        <w:rPr>
          <w:rFonts w:ascii="Times New Roman" w:hAnsi="Times New Roman" w:cs="Times New Roman"/>
          <w:sz w:val="22"/>
          <w:szCs w:val="22"/>
        </w:rPr>
      </w:pPr>
      <w:r>
        <w:rPr>
          <w:rFonts w:ascii="Times New Roman" w:hAnsi="Times New Roman" w:cs="Times New Roman"/>
          <w:b/>
          <w:bCs/>
          <w:sz w:val="22"/>
          <w:szCs w:val="22"/>
        </w:rPr>
        <w:t>The Moral Life as Participation in the Display</w:t>
      </w:r>
    </w:p>
    <w:p w14:paraId="32AEE0A9" w14:textId="77777777" w:rsidR="00D90EB8" w:rsidRPr="00850CC8" w:rsidRDefault="00D90EB8" w:rsidP="00850CC8">
      <w:pPr>
        <w:spacing w:line="276" w:lineRule="auto"/>
        <w:jc w:val="both"/>
        <w:rPr>
          <w:rFonts w:ascii="Times New Roman" w:hAnsi="Times New Roman" w:cs="Times New Roman"/>
          <w:sz w:val="22"/>
          <w:szCs w:val="22"/>
        </w:rPr>
      </w:pPr>
      <w:r>
        <w:rPr>
          <w:rFonts w:ascii="Times New Roman" w:hAnsi="Times New Roman" w:cs="Times New Roman"/>
          <w:sz w:val="22"/>
          <w:szCs w:val="22"/>
        </w:rPr>
        <w:lastRenderedPageBreak/>
        <w:t>The claim that the moral life is a participation in the demonstration of who God is requires careful statement, because it can easily be misread in two directions.</w:t>
      </w:r>
    </w:p>
    <w:p w14:paraId="79ED9416" w14:textId="77777777" w:rsidR="00D90EB8" w:rsidRPr="00850CC8" w:rsidRDefault="00D90EB8" w:rsidP="00850CC8">
      <w:pPr>
        <w:spacing w:line="276" w:lineRule="auto"/>
        <w:rPr>
          <w:rFonts w:ascii="Times New Roman" w:hAnsi="Times New Roman" w:cs="Times New Roman"/>
          <w:sz w:val="22"/>
          <w:szCs w:val="22"/>
        </w:rPr>
      </w:pPr>
    </w:p>
    <w:p w14:paraId="2A570CA3" w14:textId="77777777" w:rsidR="00D90EB8" w:rsidRPr="00850CC8" w:rsidRDefault="00D90EB8"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One misreading treats it as a performance claim: the moral life is a display put on for an audience, and the primary concern of the moral agent should be to display well rather than to act rightly. This is not what is being argued. The moral life that participates in the demonstration of God’s character is not a moral life performed for effect. It is a moral life lived from the inside of what it means to be an image-bearing creature, from the honest reception of the prior love that Chapter Five identified as the source of all creaturely love, from the real care for the particular persons that Chapters Four and Six showed to be irreplaceable in the relational structure of the moral life. The display is a consequence of the reality, not a substitute for it. A person who performs generosity for an audience while not actually caring about the people they appear to help is not participating in the demonstration of divine character. They are obscuring it.</w:t>
      </w:r>
    </w:p>
    <w:p w14:paraId="688C9604" w14:textId="77777777" w:rsidR="00D90EB8" w:rsidRPr="00850CC8" w:rsidRDefault="00D90EB8" w:rsidP="00850CC8">
      <w:pPr>
        <w:spacing w:line="276" w:lineRule="auto"/>
        <w:rPr>
          <w:rFonts w:ascii="Times New Roman" w:hAnsi="Times New Roman" w:cs="Times New Roman"/>
          <w:sz w:val="22"/>
          <w:szCs w:val="22"/>
        </w:rPr>
      </w:pPr>
    </w:p>
    <w:p w14:paraId="7463F842" w14:textId="77777777" w:rsidR="00D90EB8" w:rsidRPr="00850CC8" w:rsidRDefault="00D90EB8"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The other misreading treats the display claim as a kind of moral legalism in cosmic dress: the moral agent must live rightly because the universe is watching and God’s reputation is at stake. This too is not what is being argued. The indicative-imperative pattern identified in Chapter Five is operative here at the deepest level: the moral life is not a condition that must be met in order for the display to occur but a response to the prior love that has already constituted the relationship within which the display takes place. The display is not a task assigned to creatures who must perform it or face consequences. It is the natural expression of a life lived from within the love that has already been given.</w:t>
      </w:r>
    </w:p>
    <w:p w14:paraId="3A37EFE4" w14:textId="77777777" w:rsidR="00D90EB8" w:rsidRPr="00850CC8" w:rsidRDefault="00D90EB8" w:rsidP="00850CC8">
      <w:pPr>
        <w:spacing w:line="276" w:lineRule="auto"/>
        <w:rPr>
          <w:rFonts w:ascii="Times New Roman" w:hAnsi="Times New Roman" w:cs="Times New Roman"/>
          <w:sz w:val="22"/>
          <w:szCs w:val="22"/>
        </w:rPr>
      </w:pPr>
    </w:p>
    <w:p w14:paraId="0EFAD7AC" w14:textId="77777777" w:rsidR="00D90EB8" w:rsidRPr="00850CC8" w:rsidRDefault="00D90EB8"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The distinction N. T. Wright draws between performance and vocation is helpful here. His account of the human calling in the new creation is not that human beings are performers executing a script given to them by a director who remains offstage. It is that human beings are, in the language of Chapter Three’s temple theology, the means by which the presence and activity of God are mediated into the created realm, the living images installed in the cosmic temple whose function is to make the character of the God they represent visible in the world.</w:t>
      </w:r>
      <w:r>
        <w:rPr>
          <w:rFonts w:ascii="Times New Roman" w:hAnsi="Times New Roman" w:cs="Times New Roman"/>
          <w:sz w:val="22"/>
          <w:szCs w:val="22"/>
          <w:vertAlign w:val="superscript"/>
        </w:rPr>
        <w:t>5</w:t>
      </w:r>
      <w:r>
        <w:rPr>
          <w:rFonts w:ascii="Times New Roman" w:hAnsi="Times New Roman" w:cs="Times New Roman"/>
          <w:sz w:val="22"/>
          <w:szCs w:val="22"/>
        </w:rPr>
        <w:t xml:space="preserve"> This is a vocation, not a performance. It is something done from the inside of a relationship, not a role assumed for external purposes.</w:t>
      </w:r>
    </w:p>
    <w:p w14:paraId="48308CCB" w14:textId="77777777" w:rsidR="00D90EB8" w:rsidRPr="00850CC8" w:rsidRDefault="00D90EB8" w:rsidP="00850CC8">
      <w:pPr>
        <w:spacing w:line="276" w:lineRule="auto"/>
        <w:rPr>
          <w:rFonts w:ascii="Times New Roman" w:hAnsi="Times New Roman" w:cs="Times New Roman"/>
          <w:sz w:val="22"/>
          <w:szCs w:val="22"/>
        </w:rPr>
      </w:pPr>
    </w:p>
    <w:p w14:paraId="09962124" w14:textId="77777777" w:rsidR="00D90EB8" w:rsidRPr="00850CC8" w:rsidRDefault="00D90EB8"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Understood as vocation rather than performance, the claim that the moral life participates in the demonstration of God’s character transforms rather than merely intensifies the ethical demands already established in the preceding chapters. The four qualities identified in Chapter Four, that ethics is relational, reflective, situational, and personal, are not simply practical requirements for living well with others. They are the shape of the vocation of creatures made in the image of a relational God, and their proper exercise is a display of what relational existence looks like when it is lived from within the prior love of God that is its source. The two great commandments and the Golden Rule identified in Chapter Five are not simply the most efficient summaries of moral obligation. They are the grammar of the divine life encoded in the form appropriate to creatures, and their proper exercise is an expression, within creaturely limits, of the reflexive self-giving love that constitutes the eternal life of Father, Son, and Spirit.</w:t>
      </w:r>
    </w:p>
    <w:p w14:paraId="5F8209F0" w14:textId="77777777" w:rsidR="00D90EB8" w:rsidRPr="00850CC8" w:rsidRDefault="00D90EB8" w:rsidP="00850CC8">
      <w:pPr>
        <w:spacing w:line="276" w:lineRule="auto"/>
        <w:rPr>
          <w:rFonts w:ascii="Times New Roman" w:hAnsi="Times New Roman" w:cs="Times New Roman"/>
          <w:sz w:val="22"/>
          <w:szCs w:val="22"/>
        </w:rPr>
      </w:pPr>
    </w:p>
    <w:p w14:paraId="1AC42E4E" w14:textId="77777777" w:rsidR="00D90EB8" w:rsidRPr="00850CC8" w:rsidRDefault="00D90EB8" w:rsidP="00850CC8">
      <w:pPr>
        <w:spacing w:before="480" w:after="240" w:line="276" w:lineRule="auto"/>
        <w:rPr>
          <w:rFonts w:ascii="Times New Roman" w:hAnsi="Times New Roman" w:cs="Times New Roman"/>
          <w:sz w:val="22"/>
          <w:szCs w:val="22"/>
        </w:rPr>
      </w:pPr>
      <w:r>
        <w:rPr>
          <w:rFonts w:ascii="Times New Roman" w:hAnsi="Times New Roman" w:cs="Times New Roman"/>
          <w:b/>
          <w:bCs/>
          <w:sz w:val="22"/>
          <w:szCs w:val="22"/>
        </w:rPr>
        <w:t>The Prior Love and the Display</w:t>
      </w:r>
    </w:p>
    <w:p w14:paraId="7331324F" w14:textId="77777777" w:rsidR="00D90EB8" w:rsidRPr="00850CC8" w:rsidRDefault="00D90EB8" w:rsidP="00850CC8">
      <w:pPr>
        <w:spacing w:line="276" w:lineRule="auto"/>
        <w:jc w:val="both"/>
        <w:rPr>
          <w:rFonts w:ascii="Times New Roman" w:hAnsi="Times New Roman" w:cs="Times New Roman"/>
          <w:sz w:val="22"/>
          <w:szCs w:val="22"/>
        </w:rPr>
      </w:pPr>
      <w:r>
        <w:rPr>
          <w:rFonts w:ascii="Times New Roman" w:hAnsi="Times New Roman" w:cs="Times New Roman"/>
          <w:sz w:val="22"/>
          <w:szCs w:val="22"/>
        </w:rPr>
        <w:lastRenderedPageBreak/>
        <w:t>The argument this book has been building has, at its center, a claim about the ground and source of the moral life. The sentence with which this book began names that ground: because he first loved us. The love that constitutes the Trinitarian life does not remain contained within the divine life but moves freely outward, communicates itself, creates a realm of creatures capable of receiving it, and draws those creatures toward the participation in the divine life that their image-bearing constitution makes possible.</w:t>
      </w:r>
    </w:p>
    <w:p w14:paraId="416407F2" w14:textId="77777777" w:rsidR="00D90EB8" w:rsidRPr="00850CC8" w:rsidRDefault="00D90EB8" w:rsidP="00850CC8">
      <w:pPr>
        <w:spacing w:line="276" w:lineRule="auto"/>
        <w:rPr>
          <w:rFonts w:ascii="Times New Roman" w:hAnsi="Times New Roman" w:cs="Times New Roman"/>
          <w:sz w:val="22"/>
          <w:szCs w:val="22"/>
        </w:rPr>
      </w:pPr>
    </w:p>
    <w:p w14:paraId="3591A382" w14:textId="77777777" w:rsidR="00D90EB8" w:rsidRPr="00850CC8" w:rsidRDefault="00D90EB8"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The theatre of divine self-revelation is the space that this prior love creates. The creation is not the prior love itself but the space into which that love freely moves and takes up its creaturely form. And the moral life of image-bearing creatures is not the display itself but the creaturely participation in a display whose origin and ground is the Trinitarian character of the God in whose image those creatures are made.</w:t>
      </w:r>
    </w:p>
    <w:p w14:paraId="2F3A8ED7" w14:textId="77777777" w:rsidR="00D90EB8" w:rsidRPr="00850CC8" w:rsidRDefault="00D90EB8" w:rsidP="00850CC8">
      <w:pPr>
        <w:spacing w:line="276" w:lineRule="auto"/>
        <w:rPr>
          <w:rFonts w:ascii="Times New Roman" w:hAnsi="Times New Roman" w:cs="Times New Roman"/>
          <w:sz w:val="22"/>
          <w:szCs w:val="22"/>
        </w:rPr>
      </w:pPr>
    </w:p>
    <w:p w14:paraId="7486950F" w14:textId="77777777" w:rsidR="00D90EB8" w:rsidRPr="00850CC8" w:rsidRDefault="00D90EB8"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This distinction matters because it preserves the asymmetry that the indicative-imperative pattern of Chapter Five requires. The display is not something that creatures generate from their own moral resources. It is something they participate in by virtue of the prior love that has already constituted their identity as image-bearers and their standing as recipients of the relational vocation for which they were made.</w:t>
      </w:r>
    </w:p>
    <w:p w14:paraId="6A11612C" w14:textId="77777777" w:rsidR="00D90EB8" w:rsidRPr="00850CC8" w:rsidRDefault="00D90EB8" w:rsidP="00850CC8">
      <w:pPr>
        <w:spacing w:line="276" w:lineRule="auto"/>
        <w:rPr>
          <w:rFonts w:ascii="Times New Roman" w:hAnsi="Times New Roman" w:cs="Times New Roman"/>
          <w:sz w:val="22"/>
          <w:szCs w:val="22"/>
        </w:rPr>
      </w:pPr>
    </w:p>
    <w:p w14:paraId="37C9D796" w14:textId="77777777" w:rsidR="00D90EB8" w:rsidRPr="00850CC8" w:rsidRDefault="00D90EB8"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Edwards’s image of the beams of glory returning to their source captures this precisely: the moral life of the creature is not the original light but the reflection, and a reflection is not less real for being derivative. It is the form in which the original light becomes visible within a creaturely medium.</w:t>
      </w:r>
      <w:r>
        <w:rPr>
          <w:rFonts w:ascii="Times New Roman" w:hAnsi="Times New Roman" w:cs="Times New Roman"/>
          <w:sz w:val="22"/>
          <w:szCs w:val="22"/>
          <w:vertAlign w:val="superscript"/>
        </w:rPr>
        <w:t>6</w:t>
      </w:r>
    </w:p>
    <w:p w14:paraId="55605FF8" w14:textId="77777777" w:rsidR="00D90EB8" w:rsidRPr="00850CC8" w:rsidRDefault="00D90EB8" w:rsidP="00850CC8">
      <w:pPr>
        <w:spacing w:line="276" w:lineRule="auto"/>
        <w:rPr>
          <w:rFonts w:ascii="Times New Roman" w:hAnsi="Times New Roman" w:cs="Times New Roman"/>
          <w:sz w:val="22"/>
          <w:szCs w:val="22"/>
        </w:rPr>
      </w:pPr>
    </w:p>
    <w:p w14:paraId="6D4E9C0F" w14:textId="77777777" w:rsidR="00D90EB8" w:rsidRPr="00850CC8" w:rsidRDefault="00D90EB8"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The practical implication of this is significant for how the moral life is understood and pursued. A person who understands the moral life as participation in the display of God’s character is not thereby released from the hard work of moral formation, the painful discipline of learning to see others clearly, the long effort of attending to relational obligations that are costly and sometimes unrewarded. If anything, the cosmological frame makes the stakes clearer rather than lower. But it also changes the orientation from which that hard work is undertaken. The work is not a contribution to a project whose success depends on the quality of the contribution. It is a response to a love already given, a participation in a display already underway, a creaturely expression of an original that is not at risk from the imperfection of its reflection.</w:t>
      </w:r>
    </w:p>
    <w:p w14:paraId="7BC5EC06" w14:textId="77777777" w:rsidR="00D90EB8" w:rsidRPr="00850CC8" w:rsidRDefault="00D90EB8" w:rsidP="00850CC8">
      <w:pPr>
        <w:spacing w:line="276" w:lineRule="auto"/>
        <w:rPr>
          <w:rFonts w:ascii="Times New Roman" w:hAnsi="Times New Roman" w:cs="Times New Roman"/>
          <w:sz w:val="22"/>
          <w:szCs w:val="22"/>
        </w:rPr>
      </w:pPr>
    </w:p>
    <w:p w14:paraId="72FC96B1" w14:textId="77777777" w:rsidR="00D90EB8" w:rsidRPr="00850CC8" w:rsidRDefault="00D90EB8" w:rsidP="00850CC8">
      <w:pPr>
        <w:spacing w:before="480" w:after="240" w:line="276" w:lineRule="auto"/>
        <w:rPr>
          <w:rFonts w:ascii="Times New Roman" w:hAnsi="Times New Roman" w:cs="Times New Roman"/>
          <w:sz w:val="22"/>
          <w:szCs w:val="22"/>
        </w:rPr>
      </w:pPr>
      <w:r>
        <w:rPr>
          <w:rFonts w:ascii="Times New Roman" w:hAnsi="Times New Roman" w:cs="Times New Roman"/>
          <w:b/>
          <w:bCs/>
          <w:sz w:val="22"/>
          <w:szCs w:val="22"/>
        </w:rPr>
        <w:t>The Audience and the Cosmic Stakes</w:t>
      </w:r>
    </w:p>
    <w:p w14:paraId="5F2DEF86" w14:textId="77777777" w:rsidR="00D90EB8" w:rsidRPr="00850CC8" w:rsidRDefault="00D90EB8" w:rsidP="00850CC8">
      <w:pPr>
        <w:spacing w:line="276" w:lineRule="auto"/>
        <w:jc w:val="both"/>
        <w:rPr>
          <w:rFonts w:ascii="Times New Roman" w:hAnsi="Times New Roman" w:cs="Times New Roman"/>
          <w:sz w:val="22"/>
          <w:szCs w:val="22"/>
        </w:rPr>
      </w:pPr>
      <w:r>
        <w:rPr>
          <w:rFonts w:ascii="Times New Roman" w:hAnsi="Times New Roman" w:cs="Times New Roman"/>
          <w:sz w:val="22"/>
          <w:szCs w:val="22"/>
        </w:rPr>
        <w:t>The Ephesians 3:10 text, with its reference to rulers and authorities in the heavenly places as the audience of the church’s display, raises a question that the argument of this book is well positioned to address: what is at stake in the demonstration, and for whom?</w:t>
      </w:r>
    </w:p>
    <w:p w14:paraId="004ABED3" w14:textId="77777777" w:rsidR="00D90EB8" w:rsidRPr="00850CC8" w:rsidRDefault="00D90EB8" w:rsidP="00850CC8">
      <w:pPr>
        <w:spacing w:line="276" w:lineRule="auto"/>
        <w:rPr>
          <w:rFonts w:ascii="Times New Roman" w:hAnsi="Times New Roman" w:cs="Times New Roman"/>
          <w:sz w:val="22"/>
          <w:szCs w:val="22"/>
        </w:rPr>
      </w:pPr>
    </w:p>
    <w:p w14:paraId="4E8761A5" w14:textId="77777777" w:rsidR="00D90EB8" w:rsidRPr="00850CC8" w:rsidRDefault="00D90EB8"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The book of Job provides the most sustained narrative answer to this question available in the biblical canon. The challenge posed to God by the adversary in Job 1–2 is a challenge to the coherence of the Trinitarian claim about the character of love: is the love that binds creature to Creator authentic, or is it merely the product of the conditions that make it comfortable? The adversary’s argument, that Job serves God because God protects him, is a challenge to the reality of the relational structure that this book has been describing. If the relational structure is real, it should be visible even when the conditions that make it comfortable are removed. Job’s perseverance is the demonstration that it is.</w:t>
      </w:r>
      <w:r>
        <w:rPr>
          <w:rFonts w:ascii="Times New Roman" w:hAnsi="Times New Roman" w:cs="Times New Roman"/>
          <w:sz w:val="22"/>
          <w:szCs w:val="22"/>
          <w:vertAlign w:val="superscript"/>
        </w:rPr>
        <w:t>7</w:t>
      </w:r>
    </w:p>
    <w:p w14:paraId="3AB9CB3D" w14:textId="77777777" w:rsidR="00D90EB8" w:rsidRPr="00850CC8" w:rsidRDefault="00D90EB8" w:rsidP="00850CC8">
      <w:pPr>
        <w:spacing w:line="276" w:lineRule="auto"/>
        <w:rPr>
          <w:rFonts w:ascii="Times New Roman" w:hAnsi="Times New Roman" w:cs="Times New Roman"/>
          <w:sz w:val="22"/>
          <w:szCs w:val="22"/>
        </w:rPr>
      </w:pPr>
    </w:p>
    <w:p w14:paraId="04B6B24A" w14:textId="77777777" w:rsidR="00D90EB8" w:rsidRPr="00850CC8" w:rsidRDefault="00D90EB8"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The cosmic stakes of this demonstration are significant. The challenge to the reality of the creature’s authentic love for God is also, implicitly, a challenge to the character of the God who claims that such love is possible. A God whose creatures love him only under conditions of protection and reward is not a God whose character has generated real relational response. He is a God whose power has generated calculated compliance. The demonstration that authentic love is possible, that creatures made in the image of the relational God can respond to him with a love that persists under conditions of adversity, is a demonstration of something about the character of the God in whose image those creatures are made.</w:t>
      </w:r>
    </w:p>
    <w:p w14:paraId="6FE26D2A" w14:textId="77777777" w:rsidR="00D90EB8" w:rsidRPr="00850CC8" w:rsidRDefault="00D90EB8" w:rsidP="00850CC8">
      <w:pPr>
        <w:spacing w:line="276" w:lineRule="auto"/>
        <w:rPr>
          <w:rFonts w:ascii="Times New Roman" w:hAnsi="Times New Roman" w:cs="Times New Roman"/>
          <w:sz w:val="22"/>
          <w:szCs w:val="22"/>
        </w:rPr>
      </w:pPr>
    </w:p>
    <w:p w14:paraId="5C82CB82" w14:textId="77777777" w:rsidR="00D90EB8" w:rsidRPr="00850CC8" w:rsidRDefault="00D90EB8"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This is why the Pauline account in Ephesians 3:10 places the demonstration before the cosmic audience rather than only before a human one. The question being answered by the moral life of the community of the redeemed is not only a human question about how best to live together. It is a cosmic question about the character of the God who created and redeems, a question being asked before an audience that includes beings whose own relation to that God has been the subject of the rebellion and judgment described in Chapter Seven. The demonstration that authentic, responsive, relational love is possible, in creatures who bear the image of the God whose inner life is constituted by that love, is an answer to the cosmic challenge in the most comprehensive sense available.</w:t>
      </w:r>
      <w:r>
        <w:rPr>
          <w:rFonts w:ascii="Times New Roman" w:hAnsi="Times New Roman" w:cs="Times New Roman"/>
          <w:sz w:val="22"/>
          <w:szCs w:val="22"/>
          <w:vertAlign w:val="superscript"/>
        </w:rPr>
        <w:t>8</w:t>
      </w:r>
    </w:p>
    <w:p w14:paraId="20C61FC2" w14:textId="77777777" w:rsidR="00D90EB8" w:rsidRPr="00850CC8" w:rsidRDefault="00D90EB8" w:rsidP="00850CC8">
      <w:pPr>
        <w:spacing w:line="276" w:lineRule="auto"/>
        <w:rPr>
          <w:rFonts w:ascii="Times New Roman" w:hAnsi="Times New Roman" w:cs="Times New Roman"/>
          <w:sz w:val="22"/>
          <w:szCs w:val="22"/>
        </w:rPr>
      </w:pPr>
    </w:p>
    <w:p w14:paraId="6BBD0DAC" w14:textId="77777777" w:rsidR="00D90EB8" w:rsidRPr="00850CC8" w:rsidRDefault="00D90EB8" w:rsidP="00850CC8">
      <w:pPr>
        <w:spacing w:before="480" w:after="240" w:line="276" w:lineRule="auto"/>
        <w:rPr>
          <w:rFonts w:ascii="Times New Roman" w:hAnsi="Times New Roman" w:cs="Times New Roman"/>
          <w:sz w:val="22"/>
          <w:szCs w:val="22"/>
        </w:rPr>
      </w:pPr>
      <w:r>
        <w:rPr>
          <w:rFonts w:ascii="Times New Roman" w:hAnsi="Times New Roman" w:cs="Times New Roman"/>
          <w:b/>
          <w:bCs/>
          <w:sz w:val="22"/>
          <w:szCs w:val="22"/>
        </w:rPr>
        <w:t>Eschatology and the Completion of the Display</w:t>
      </w:r>
    </w:p>
    <w:p w14:paraId="4EC2622A" w14:textId="77777777" w:rsidR="00D90EB8" w:rsidRPr="00850CC8" w:rsidRDefault="00D90EB8" w:rsidP="00850CC8">
      <w:pPr>
        <w:spacing w:line="276" w:lineRule="auto"/>
        <w:jc w:val="both"/>
        <w:rPr>
          <w:rFonts w:ascii="Times New Roman" w:hAnsi="Times New Roman" w:cs="Times New Roman"/>
          <w:sz w:val="22"/>
          <w:szCs w:val="22"/>
        </w:rPr>
      </w:pPr>
      <w:r>
        <w:rPr>
          <w:rFonts w:ascii="Times New Roman" w:hAnsi="Times New Roman" w:cs="Times New Roman"/>
          <w:sz w:val="22"/>
          <w:szCs w:val="22"/>
        </w:rPr>
        <w:t>The display that the moral life of image-bearing creatures constitutes is not, in the present order, complete. The image is distorted by the fall, the relational vocation is imperfectly exercised, the theatre is clouded by the same corruption that Chapter Seven traced through the conquest narratives and that Chapter Eight’s account of justice acknowledged as the persistent condition within which the moral life is actually lived. The moral life is not, now, a clear and unobstructed display of the divine character. It is a broken and partial display, moving toward a completion that the present order does not yet contain.</w:t>
      </w:r>
    </w:p>
    <w:p w14:paraId="123CC7A4" w14:textId="77777777" w:rsidR="00D90EB8" w:rsidRPr="00850CC8" w:rsidRDefault="00D90EB8" w:rsidP="00850CC8">
      <w:pPr>
        <w:spacing w:line="276" w:lineRule="auto"/>
        <w:rPr>
          <w:rFonts w:ascii="Times New Roman" w:hAnsi="Times New Roman" w:cs="Times New Roman"/>
          <w:sz w:val="22"/>
          <w:szCs w:val="22"/>
        </w:rPr>
      </w:pPr>
    </w:p>
    <w:p w14:paraId="40C3A503" w14:textId="77777777" w:rsidR="00D90EB8" w:rsidRPr="00850CC8" w:rsidRDefault="00D90EB8"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The eschatological dimension of the argument is therefore essential rather than supplementary. Paul’s account in Romans 8 of the creation waiting with eager longing for the revealing of the sons of God is not a postscript to the argument about the moral life. It is the frame within which the moral life makes its full sense. The present moral effort, with all its imperfection and defeat, is oriented toward a completion that the resurrection of Christ has both inaugurated and guaranteed. The raising of the one who is the true image-bearer is the definitive demonstration that the display will reach its completion, that the prior self-giving love of the triune God extended into the creaturely realm will not be finally frustrated by creaturely rebellion, and that the theatre in which it is displayed will eventually show, without obstruction, what the character of God actually is.</w:t>
      </w:r>
      <w:r>
        <w:rPr>
          <w:rFonts w:ascii="Times New Roman" w:hAnsi="Times New Roman" w:cs="Times New Roman"/>
          <w:sz w:val="22"/>
          <w:szCs w:val="22"/>
          <w:vertAlign w:val="superscript"/>
        </w:rPr>
        <w:t>9</w:t>
      </w:r>
    </w:p>
    <w:p w14:paraId="2C9E340A" w14:textId="77777777" w:rsidR="00D90EB8" w:rsidRPr="00850CC8" w:rsidRDefault="00D90EB8" w:rsidP="00850CC8">
      <w:pPr>
        <w:spacing w:line="276" w:lineRule="auto"/>
        <w:rPr>
          <w:rFonts w:ascii="Times New Roman" w:hAnsi="Times New Roman" w:cs="Times New Roman"/>
          <w:sz w:val="22"/>
          <w:szCs w:val="22"/>
        </w:rPr>
      </w:pPr>
    </w:p>
    <w:p w14:paraId="4C3F3634" w14:textId="77777777" w:rsidR="00D90EB8" w:rsidRPr="00850CC8" w:rsidRDefault="00D90EB8"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The eschatological completion does not render the present moral effort unimportant. It renders it, rather, properly oriented: not toward a destination that depends on the quality of the effort for its arrival, but toward a destination that has been secured by the one whose effort was perfect and whose resurrection is the pledge of its completion. The moral life undertaken from within this eschatological frame is not burdened by the weight of a success it must achieve. It is freed by the certainty of a completion it is invited to anticipate and participate in.</w:t>
      </w:r>
    </w:p>
    <w:p w14:paraId="300F492D" w14:textId="77777777" w:rsidR="00D90EB8" w:rsidRPr="00850CC8" w:rsidRDefault="00D90EB8" w:rsidP="00850CC8">
      <w:pPr>
        <w:spacing w:line="276" w:lineRule="auto"/>
        <w:rPr>
          <w:rFonts w:ascii="Times New Roman" w:hAnsi="Times New Roman" w:cs="Times New Roman"/>
          <w:sz w:val="22"/>
          <w:szCs w:val="22"/>
        </w:rPr>
      </w:pPr>
    </w:p>
    <w:p w14:paraId="5577067C" w14:textId="77777777" w:rsidR="00D90EB8" w:rsidRPr="00850CC8" w:rsidRDefault="00D90EB8" w:rsidP="00850CC8">
      <w:pPr>
        <w:spacing w:before="480" w:after="240" w:line="276" w:lineRule="auto"/>
        <w:rPr>
          <w:rFonts w:ascii="Times New Roman" w:hAnsi="Times New Roman" w:cs="Times New Roman"/>
          <w:sz w:val="22"/>
          <w:szCs w:val="22"/>
        </w:rPr>
      </w:pPr>
      <w:r>
        <w:rPr>
          <w:rFonts w:ascii="Times New Roman" w:hAnsi="Times New Roman" w:cs="Times New Roman"/>
          <w:b/>
          <w:bCs/>
          <w:sz w:val="22"/>
          <w:szCs w:val="22"/>
        </w:rPr>
        <w:t>Ethics as Doxology</w:t>
      </w:r>
    </w:p>
    <w:p w14:paraId="5240934B" w14:textId="77777777" w:rsidR="00D90EB8" w:rsidRPr="00850CC8" w:rsidRDefault="00D90EB8" w:rsidP="00850CC8">
      <w:pPr>
        <w:spacing w:line="276" w:lineRule="auto"/>
        <w:jc w:val="both"/>
        <w:rPr>
          <w:rFonts w:ascii="Times New Roman" w:hAnsi="Times New Roman" w:cs="Times New Roman"/>
          <w:sz w:val="22"/>
          <w:szCs w:val="22"/>
        </w:rPr>
      </w:pPr>
      <w:r>
        <w:rPr>
          <w:rFonts w:ascii="Times New Roman" w:hAnsi="Times New Roman" w:cs="Times New Roman"/>
          <w:sz w:val="22"/>
          <w:szCs w:val="22"/>
        </w:rPr>
        <w:t>The argument of this chapter, and of the book as a whole, arrives at a conclusion that might seem surprising for a work that began with the question of ethics.</w:t>
      </w:r>
    </w:p>
    <w:p w14:paraId="125F92B2" w14:textId="77777777" w:rsidR="00D90EB8" w:rsidRPr="00850CC8" w:rsidRDefault="00D90EB8" w:rsidP="00850CC8">
      <w:pPr>
        <w:spacing w:line="276" w:lineRule="auto"/>
        <w:rPr>
          <w:rFonts w:ascii="Times New Roman" w:hAnsi="Times New Roman" w:cs="Times New Roman"/>
          <w:sz w:val="22"/>
          <w:szCs w:val="22"/>
        </w:rPr>
      </w:pPr>
    </w:p>
    <w:p w14:paraId="778B6019" w14:textId="77777777" w:rsidR="00D90EB8" w:rsidRPr="00850CC8" w:rsidRDefault="00D90EB8"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The moral life, properly understood, is a form of worship.</w:t>
      </w:r>
    </w:p>
    <w:p w14:paraId="38F28A15" w14:textId="77777777" w:rsidR="00D90EB8" w:rsidRPr="00850CC8" w:rsidRDefault="00D90EB8" w:rsidP="00850CC8">
      <w:pPr>
        <w:spacing w:line="276" w:lineRule="auto"/>
        <w:rPr>
          <w:rFonts w:ascii="Times New Roman" w:hAnsi="Times New Roman" w:cs="Times New Roman"/>
          <w:sz w:val="22"/>
          <w:szCs w:val="22"/>
        </w:rPr>
      </w:pPr>
    </w:p>
    <w:p w14:paraId="4BA809CA" w14:textId="77777777" w:rsidR="00D90EB8" w:rsidRPr="00850CC8" w:rsidRDefault="00D90EB8"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Not in the sense that ethical action is a substitute for liturgical practice, or that the moral life makes explicit religious observance unnecessary. The point is more fundamental than that. It is that the proper ground of the moral life is the character of God, that the proper motive of the moral life is the prior love of God, that the proper orientation of the moral life is the display of the divine character in creaturely form, and that all of these things are, in the fullest sense, doxological: they are the creature’s response to the reality of who God is, a response that takes the form of action and relation rather than only the form of praise, but that is no less an act of worship for taking that form.</w:t>
      </w:r>
    </w:p>
    <w:p w14:paraId="088C7323" w14:textId="77777777" w:rsidR="00D90EB8" w:rsidRPr="00850CC8" w:rsidRDefault="00D90EB8" w:rsidP="00850CC8">
      <w:pPr>
        <w:spacing w:line="276" w:lineRule="auto"/>
        <w:rPr>
          <w:rFonts w:ascii="Times New Roman" w:hAnsi="Times New Roman" w:cs="Times New Roman"/>
          <w:sz w:val="22"/>
          <w:szCs w:val="22"/>
        </w:rPr>
      </w:pPr>
    </w:p>
    <w:p w14:paraId="0F29B6A5" w14:textId="77777777" w:rsidR="00D90EB8" w:rsidRPr="00850CC8" w:rsidRDefault="00D90EB8"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Paul’s summary of the moral life in Romans 12:1 captures this precisely: “I appeal to you therefore, brothers, by the mercies of God, to present your bodies as a living sacrifice, holy and acceptable to God, which is your spiritual worship.” The ethical exhortation of the remainder of Romans 12–15, the community’s life of love, service, hospitality, patience, and the refusal of vengeance, is presented not as an alternative to worship but as its proper bodily form. The mercies of God are the indicative from which the imperative flows. The living sacrifice is the moral life offered as worship. And the whole is described as the creature’s rational or spiritual service, the response of a being made in the image of God to the prior love that has constituted its identity and disclosed its vocation.</w:t>
      </w:r>
      <w:r>
        <w:rPr>
          <w:rFonts w:ascii="Times New Roman" w:hAnsi="Times New Roman" w:cs="Times New Roman"/>
          <w:sz w:val="22"/>
          <w:szCs w:val="22"/>
          <w:vertAlign w:val="superscript"/>
        </w:rPr>
        <w:t>10</w:t>
      </w:r>
    </w:p>
    <w:p w14:paraId="4E50A2DF" w14:textId="77777777" w:rsidR="00D90EB8" w:rsidRPr="00850CC8" w:rsidRDefault="00D90EB8" w:rsidP="00850CC8">
      <w:pPr>
        <w:spacing w:line="276" w:lineRule="auto"/>
        <w:rPr>
          <w:rFonts w:ascii="Times New Roman" w:hAnsi="Times New Roman" w:cs="Times New Roman"/>
          <w:sz w:val="22"/>
          <w:szCs w:val="22"/>
        </w:rPr>
      </w:pPr>
    </w:p>
    <w:p w14:paraId="06851111" w14:textId="77777777" w:rsidR="00D90EB8" w:rsidRPr="00850CC8" w:rsidRDefault="00D90EB8"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This doxological understanding of the moral life does not collapse ethics into aesthetics or reduce the demands of justice and love to a matter of personal expression. The relational obligations identified in Chapter Four, the grammar of the commandments analyzed in Chapter Five, the difficult work of justice described in Chapter Eight: none of these are softened by understanding them as doxological in character. If anything, they are deepened. A person who understands their neighbor-love as a participation in the display of the character of the God who first loved them has a more serious ground for that love than a person who understands it as a rational calculation or a social contract. The neighbor is not merely a fellow citizen or a bearer of abstract rights. They are a person made in the image of the same God, a fellow participant in the same vocation, a member of the same theatre whose proper response to the prior love of God is that same love extended, in creaturely form, to every person they encounter.</w:t>
      </w:r>
      <w:r>
        <w:rPr>
          <w:rFonts w:ascii="Times New Roman" w:hAnsi="Times New Roman" w:cs="Times New Roman"/>
          <w:sz w:val="22"/>
          <w:szCs w:val="22"/>
          <w:vertAlign w:val="superscript"/>
        </w:rPr>
        <w:t>11</w:t>
      </w:r>
    </w:p>
    <w:p w14:paraId="39EC7AAA" w14:textId="77777777" w:rsidR="00D90EB8" w:rsidRPr="00850CC8" w:rsidRDefault="00D90EB8" w:rsidP="00850CC8">
      <w:pPr>
        <w:spacing w:line="276" w:lineRule="auto"/>
        <w:rPr>
          <w:rFonts w:ascii="Times New Roman" w:hAnsi="Times New Roman" w:cs="Times New Roman"/>
          <w:sz w:val="22"/>
          <w:szCs w:val="22"/>
        </w:rPr>
      </w:pPr>
    </w:p>
    <w:p w14:paraId="402A9C28" w14:textId="77777777" w:rsidR="00D90EB8" w:rsidRPr="00850CC8" w:rsidRDefault="00D90EB8" w:rsidP="00850CC8">
      <w:pPr>
        <w:spacing w:before="480" w:after="240" w:line="276" w:lineRule="auto"/>
        <w:rPr>
          <w:rFonts w:ascii="Times New Roman" w:hAnsi="Times New Roman" w:cs="Times New Roman"/>
          <w:sz w:val="22"/>
          <w:szCs w:val="22"/>
        </w:rPr>
      </w:pPr>
      <w:r>
        <w:rPr>
          <w:rFonts w:ascii="Times New Roman" w:hAnsi="Times New Roman" w:cs="Times New Roman"/>
          <w:b/>
          <w:bCs/>
          <w:sz w:val="22"/>
          <w:szCs w:val="22"/>
        </w:rPr>
        <w:t>The Title and the Argument</w:t>
      </w:r>
    </w:p>
    <w:p w14:paraId="3DB5808D" w14:textId="77777777" w:rsidR="00D90EB8" w:rsidRPr="00850CC8" w:rsidRDefault="00D90EB8" w:rsidP="00850CC8">
      <w:pPr>
        <w:spacing w:line="276" w:lineRule="auto"/>
        <w:jc w:val="both"/>
        <w:rPr>
          <w:rFonts w:ascii="Times New Roman" w:hAnsi="Times New Roman" w:cs="Times New Roman"/>
          <w:sz w:val="22"/>
          <w:szCs w:val="22"/>
        </w:rPr>
      </w:pPr>
      <w:r>
        <w:rPr>
          <w:rFonts w:ascii="Times New Roman" w:hAnsi="Times New Roman" w:cs="Times New Roman"/>
          <w:sz w:val="22"/>
          <w:szCs w:val="22"/>
        </w:rPr>
        <w:t xml:space="preserve">The title of this book names the source from which the entire argument has flowed. Because he first loved us: the eternal self-giving love of Father, Son, and Spirit, moving freely outward into the creation of a world, into the making of creatures in the divine image, into the giving of commandments that are </w:t>
        <w:lastRenderedPageBreak/>
        <w:t>descriptions of the divine life before they are prescriptions for creaturely conduct, into the long patience of a God who waits for his creatures to turn, into the costly bearing of the consequence of their failure to turn, into the resurrection that confirms that this prior love cannot be finally frustrated.</w:t>
      </w:r>
    </w:p>
    <w:p w14:paraId="771168C7" w14:textId="77777777" w:rsidR="00D90EB8" w:rsidRPr="00850CC8" w:rsidRDefault="00D90EB8" w:rsidP="00850CC8">
      <w:pPr>
        <w:spacing w:line="276" w:lineRule="auto"/>
        <w:rPr>
          <w:rFonts w:ascii="Times New Roman" w:hAnsi="Times New Roman" w:cs="Times New Roman"/>
          <w:sz w:val="22"/>
          <w:szCs w:val="22"/>
        </w:rPr>
      </w:pPr>
    </w:p>
    <w:p w14:paraId="71ED860A" w14:textId="77777777" w:rsidR="00D90EB8" w:rsidRPr="00850CC8" w:rsidRDefault="00D90EB8"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Every dimension of the argument has been an aspect of this single claim. Chapter Two described the inner life from which this prior love proceeds: the perichoretic love of the Trinity, the original form of the reflexive self-giving that the Golden Rule encodes. Chapter Three described the creatures into whom this prior love has been poured: persons made in the image of a relational God, constituted by the relations they inhabit, commissioned to display in creaturely form the relational character of the God whose image they bear. Chapters Four and Five described the shape this prior love takes in the moral life: relational, reflective, situational, and personal, summarized in the two commandments whose second is like the first. Chapters Six and Seven showed this prior love at work in actual history, in the stories of Abraham and Rahab and in the long patience of a God who waited four centuries before the iniquity of the Amorites was complete. Chapter Eight showed this prior love as the ground of justice: the same reflexive love that constitutes the Trinitarian life generating both the retributive demand that wrong be taken seriously and the restorative movement toward the repair of what was broken.</w:t>
      </w:r>
    </w:p>
    <w:p w14:paraId="403C0F44" w14:textId="77777777" w:rsidR="00D90EB8" w:rsidRPr="00850CC8" w:rsidRDefault="00D90EB8" w:rsidP="00850CC8">
      <w:pPr>
        <w:spacing w:line="276" w:lineRule="auto"/>
        <w:rPr>
          <w:rFonts w:ascii="Times New Roman" w:hAnsi="Times New Roman" w:cs="Times New Roman"/>
          <w:sz w:val="22"/>
          <w:szCs w:val="22"/>
        </w:rPr>
      </w:pPr>
    </w:p>
    <w:p w14:paraId="5B227141" w14:textId="77777777" w:rsidR="00D90EB8" w:rsidRPr="00850CC8" w:rsidRDefault="00D90EB8"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And this chapter has set the whole within its ultimate frame: the prior love of God creates a theatre in which it can be displayed, and the moral life of image-bearing creatures is the creaturely participation in that display. The world was not made as a problem to be solved. It was made as a space in which the character of the God who made it could become visible, in and through the creaturely lives that his love has called into being. The moral life is not primarily a burden to be discharged or a set of rules to be obeyed. It is an invitation to participate in the most significant display in the history of the cosmos: the demonstration, in creaturely form, of the character of the God who is love.</w:t>
      </w:r>
    </w:p>
    <w:p w14:paraId="535FA460" w14:textId="77777777" w:rsidR="00D90EB8" w:rsidRPr="00850CC8" w:rsidRDefault="00D90EB8" w:rsidP="00850CC8">
      <w:pPr>
        <w:spacing w:line="276" w:lineRule="auto"/>
        <w:rPr>
          <w:rFonts w:ascii="Times New Roman" w:hAnsi="Times New Roman" w:cs="Times New Roman"/>
          <w:sz w:val="22"/>
          <w:szCs w:val="22"/>
        </w:rPr>
      </w:pPr>
    </w:p>
    <w:p w14:paraId="1731E7F2" w14:textId="77777777" w:rsidR="00D90EB8" w:rsidRPr="00850CC8" w:rsidRDefault="00D90EB8"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 xml:space="preserve">That is what the prior love of God looks like when it takes up its residence in the lives of creatures made to bear his image. It looks like the four qualities of Chapter Four, practiced with the wisdom that comes from long formation. It looks like the grammar of the commandments lived from the inside of a received love. It looks like the patience of Abraham before Sodom and the </w:t>
      </w:r>
      <w:r>
        <w:rPr>
          <w:rFonts w:ascii="Times New Roman" w:hAnsi="Times New Roman" w:cs="Times New Roman"/>
          <w:i/>
          <w:iCs/>
          <w:sz w:val="22"/>
          <w:szCs w:val="22"/>
        </w:rPr>
        <w:t>hesed</w:t>
      </w:r>
      <w:r>
        <w:rPr>
          <w:rFonts w:ascii="Times New Roman" w:hAnsi="Times New Roman" w:cs="Times New Roman"/>
          <w:sz w:val="22"/>
          <w:szCs w:val="22"/>
        </w:rPr>
        <w:t xml:space="preserve"> of Rahab in Jericho. It looks like the hard work of a justice that takes seriously both what wrong costs and what repair requires. It looks like the lives of ordinary persons, in ordinary circumstances, attending to the particular persons before them with the kind of attentive, reflexive, situationally wise care that is, in the end, the creaturely form of the love that was there before the world began.</w:t>
      </w:r>
    </w:p>
    <w:p w14:paraId="709BE60F" w14:textId="77777777" w:rsidR="00D90EB8" w:rsidRPr="00850CC8" w:rsidRDefault="00D90EB8" w:rsidP="00850CC8">
      <w:pPr>
        <w:spacing w:line="276" w:lineRule="auto"/>
        <w:rPr>
          <w:rFonts w:ascii="Times New Roman" w:hAnsi="Times New Roman" w:cs="Times New Roman"/>
          <w:sz w:val="22"/>
          <w:szCs w:val="22"/>
        </w:rPr>
      </w:pPr>
    </w:p>
    <w:p w14:paraId="27D5C1AA" w14:textId="77777777" w:rsidR="00D90EB8" w:rsidRPr="00850CC8" w:rsidRDefault="00D90EB8" w:rsidP="00850CC8">
      <w:pPr>
        <w:spacing w:line="276" w:lineRule="auto"/>
        <w:rPr>
          <w:rFonts w:ascii="Times New Roman" w:hAnsi="Times New Roman" w:cs="Times New Roman"/>
          <w:sz w:val="22"/>
          <w:szCs w:val="22"/>
        </w:rPr>
      </w:pPr>
    </w:p>
    <w:p w14:paraId="4E73661B" w14:textId="77777777" w:rsidR="00D90EB8" w:rsidRPr="00850CC8" w:rsidRDefault="00D90EB8" w:rsidP="00850CC8">
      <w:pPr>
        <w:spacing w:before="480" w:after="240" w:line="276" w:lineRule="auto"/>
        <w:rPr>
          <w:rFonts w:ascii="Times New Roman" w:hAnsi="Times New Roman" w:cs="Times New Roman"/>
          <w:sz w:val="22"/>
          <w:szCs w:val="22"/>
        </w:rPr>
      </w:pPr>
      <w:r>
        <w:rPr>
          <w:rFonts w:ascii="Times New Roman" w:hAnsi="Times New Roman" w:cs="Times New Roman"/>
          <w:b/>
          <w:bCs/>
          <w:sz w:val="22"/>
          <w:szCs w:val="22"/>
        </w:rPr>
        <w:t>Notes</w:t>
      </w:r>
    </w:p>
    <w:p w14:paraId="3C21015C" w14:textId="77777777" w:rsidR="00D90EB8" w:rsidRPr="00850CC8" w:rsidRDefault="00D90EB8" w:rsidP="00850CC8">
      <w:pPr>
        <w:spacing w:before="120" w:line="276" w:lineRule="auto"/>
        <w:ind w:firstLine="720"/>
        <w:jc w:val="both"/>
        <w:rPr>
          <w:rFonts w:ascii="Times New Roman" w:hAnsi="Times New Roman" w:cs="Times New Roman"/>
          <w:sz w:val="22"/>
          <w:szCs w:val="22"/>
        </w:rPr>
      </w:pPr>
      <w:r>
        <w:rPr>
          <w:rFonts w:ascii="Times New Roman" w:hAnsi="Times New Roman" w:cs="Times New Roman"/>
          <w:sz w:val="22"/>
          <w:szCs w:val="22"/>
        </w:rPr>
        <w:t xml:space="preserve">1. Susan E. Schreiner, </w:t>
      </w:r>
      <w:r>
        <w:rPr>
          <w:rFonts w:ascii="Times New Roman" w:hAnsi="Times New Roman" w:cs="Times New Roman"/>
          <w:i/>
          <w:iCs/>
          <w:sz w:val="22"/>
          <w:szCs w:val="22"/>
        </w:rPr>
        <w:t>The Theater of His Glory: Nature and the Natural Order in the Thought of John Calvin</w:t>
      </w:r>
      <w:r>
        <w:rPr>
          <w:rFonts w:ascii="Times New Roman" w:hAnsi="Times New Roman" w:cs="Times New Roman"/>
          <w:sz w:val="22"/>
          <w:szCs w:val="22"/>
        </w:rPr>
        <w:t xml:space="preserve"> (Durham: Labyrinth Press, 1991), 1–30. Schreiner’s study is the most thorough treatment of the theatre metaphor in Calvin and traces its function across the Institutes, the commentaries, and the sermons. Her conclusion that the image functions primarily as an account of general revelation is well supported, though she also notes its presence in Calvin’s treatment of the moral life and human society. For </w:t>
        <w:lastRenderedPageBreak/>
        <w:t xml:space="preserve">the specific passages in the Institutes, see John Calvin, </w:t>
      </w:r>
      <w:r>
        <w:rPr>
          <w:rFonts w:ascii="Times New Roman" w:hAnsi="Times New Roman" w:cs="Times New Roman"/>
          <w:i/>
          <w:iCs/>
          <w:sz w:val="22"/>
          <w:szCs w:val="22"/>
        </w:rPr>
        <w:t>Institutes of the Christian Religion</w:t>
      </w:r>
      <w:r>
        <w:rPr>
          <w:rFonts w:ascii="Times New Roman" w:hAnsi="Times New Roman" w:cs="Times New Roman"/>
          <w:sz w:val="22"/>
          <w:szCs w:val="22"/>
        </w:rPr>
        <w:t>, ed. John T. McNeill, trans. Ford Lewis Battles (Philadelphia: Westminster, 1960), I.5.8, I.6.2, I.14.20.</w:t>
      </w:r>
    </w:p>
    <w:p w14:paraId="593E014F" w14:textId="77777777" w:rsidR="00D90EB8" w:rsidRPr="00850CC8" w:rsidRDefault="00D90EB8" w:rsidP="00850CC8">
      <w:pPr>
        <w:spacing w:line="276" w:lineRule="auto"/>
        <w:rPr>
          <w:rFonts w:ascii="Times New Roman" w:hAnsi="Times New Roman" w:cs="Times New Roman"/>
          <w:sz w:val="22"/>
          <w:szCs w:val="22"/>
        </w:rPr>
      </w:pPr>
    </w:p>
    <w:p w14:paraId="3AC51A34" w14:textId="77777777" w:rsidR="00D90EB8" w:rsidRPr="00850CC8" w:rsidRDefault="00D90EB8" w:rsidP="00850CC8">
      <w:pPr>
        <w:spacing w:before="120" w:line="276" w:lineRule="auto"/>
        <w:ind w:firstLine="720"/>
        <w:jc w:val="both"/>
        <w:rPr>
          <w:rFonts w:ascii="Times New Roman" w:hAnsi="Times New Roman" w:cs="Times New Roman"/>
          <w:sz w:val="22"/>
          <w:szCs w:val="22"/>
        </w:rPr>
      </w:pPr>
      <w:r>
        <w:rPr>
          <w:rFonts w:ascii="Times New Roman" w:hAnsi="Times New Roman" w:cs="Times New Roman"/>
          <w:sz w:val="22"/>
          <w:szCs w:val="22"/>
        </w:rPr>
        <w:t xml:space="preserve">2. Jonathan Edwards, “Concerning the End for Which God Created the World,” in </w:t>
      </w:r>
      <w:r>
        <w:rPr>
          <w:rFonts w:ascii="Times New Roman" w:hAnsi="Times New Roman" w:cs="Times New Roman"/>
          <w:i/>
          <w:iCs/>
          <w:sz w:val="22"/>
          <w:szCs w:val="22"/>
        </w:rPr>
        <w:t>The Works of Jonathan Edwards, vol. 8: Ethical Writings</w:t>
      </w:r>
      <w:r>
        <w:rPr>
          <w:rFonts w:ascii="Times New Roman" w:hAnsi="Times New Roman" w:cs="Times New Roman"/>
          <w:sz w:val="22"/>
          <w:szCs w:val="22"/>
        </w:rPr>
        <w:t xml:space="preserve">, ed. Paul Ramsey (New Haven: Yale University Press, 1989), 526–527. Edwards’s dissertation on the end of creation is the most sustained theological treatment of the question in the English Puritan tradition. For a careful philosophical analysis of Edwards’s argument that addresses the objection that it reduces creation to a divine vanity project, see Paul Helm, </w:t>
      </w:r>
      <w:r>
        <w:rPr>
          <w:rFonts w:ascii="Times New Roman" w:hAnsi="Times New Roman" w:cs="Times New Roman"/>
          <w:i/>
          <w:iCs/>
          <w:sz w:val="22"/>
          <w:szCs w:val="22"/>
        </w:rPr>
        <w:t>John Calvin’s Ideas</w:t>
      </w:r>
      <w:r>
        <w:rPr>
          <w:rFonts w:ascii="Times New Roman" w:hAnsi="Times New Roman" w:cs="Times New Roman"/>
          <w:sz w:val="22"/>
          <w:szCs w:val="22"/>
        </w:rPr>
        <w:t xml:space="preserve"> (Oxford: Oxford University Press, 2004), 113–128, and Michael J. McClymond and Gerald R. McDermott, </w:t>
      </w:r>
      <w:r>
        <w:rPr>
          <w:rFonts w:ascii="Times New Roman" w:hAnsi="Times New Roman" w:cs="Times New Roman"/>
          <w:i/>
          <w:iCs/>
          <w:sz w:val="22"/>
          <w:szCs w:val="22"/>
        </w:rPr>
        <w:t>The Theology of Jonathan Edwards</w:t>
      </w:r>
      <w:r>
        <w:rPr>
          <w:rFonts w:ascii="Times New Roman" w:hAnsi="Times New Roman" w:cs="Times New Roman"/>
          <w:sz w:val="22"/>
          <w:szCs w:val="22"/>
        </w:rPr>
        <w:t xml:space="preserve"> (Oxford: Oxford University Press, 2012), 200–219.</w:t>
      </w:r>
    </w:p>
    <w:p w14:paraId="368B02F3" w14:textId="77777777" w:rsidR="00D90EB8" w:rsidRPr="00850CC8" w:rsidRDefault="00D90EB8" w:rsidP="00850CC8">
      <w:pPr>
        <w:spacing w:line="276" w:lineRule="auto"/>
        <w:rPr>
          <w:rFonts w:ascii="Times New Roman" w:hAnsi="Times New Roman" w:cs="Times New Roman"/>
          <w:sz w:val="22"/>
          <w:szCs w:val="22"/>
        </w:rPr>
      </w:pPr>
    </w:p>
    <w:p w14:paraId="0DFCF7C0" w14:textId="77777777" w:rsidR="00D90EB8" w:rsidRPr="00850CC8" w:rsidRDefault="00D90EB8" w:rsidP="00850CC8">
      <w:pPr>
        <w:spacing w:before="120" w:line="276" w:lineRule="auto"/>
        <w:ind w:firstLine="720"/>
        <w:jc w:val="both"/>
        <w:rPr>
          <w:rFonts w:ascii="Times New Roman" w:hAnsi="Times New Roman" w:cs="Times New Roman"/>
          <w:sz w:val="22"/>
          <w:szCs w:val="22"/>
        </w:rPr>
      </w:pPr>
      <w:r>
        <w:rPr>
          <w:rFonts w:ascii="Times New Roman" w:hAnsi="Times New Roman" w:cs="Times New Roman"/>
          <w:sz w:val="22"/>
          <w:szCs w:val="22"/>
        </w:rPr>
        <w:t xml:space="preserve">3. The exegesis of Ephesians 3:10 and the identity of the “rulers and authorities in the heavenly places” is discussed in Peter T. O’Brien, </w:t>
      </w:r>
      <w:r>
        <w:rPr>
          <w:rFonts w:ascii="Times New Roman" w:hAnsi="Times New Roman" w:cs="Times New Roman"/>
          <w:i/>
          <w:iCs/>
          <w:sz w:val="22"/>
          <w:szCs w:val="22"/>
        </w:rPr>
        <w:t>The Letter to the Ephesians</w:t>
      </w:r>
      <w:r>
        <w:rPr>
          <w:rFonts w:ascii="Times New Roman" w:hAnsi="Times New Roman" w:cs="Times New Roman"/>
          <w:sz w:val="22"/>
          <w:szCs w:val="22"/>
        </w:rPr>
        <w:t xml:space="preserve">, Pillar New Testament Commentary (Grand Rapids: Eerdmans, 1999), 244–248. O’Brien argues that the reference is to supernatural beings of both good and evil disposition, and that the church’s display of the divine wisdom before this audience is consistent with the broader Pauline account of the cosmic scope of the redemption accomplished in Christ. For the connection between Ephesians 3:10 and the divine council theology examined in earlier chapters, see Heiser, </w:t>
      </w:r>
      <w:r>
        <w:rPr>
          <w:rFonts w:ascii="Times New Roman" w:hAnsi="Times New Roman" w:cs="Times New Roman"/>
          <w:i/>
          <w:iCs/>
          <w:sz w:val="22"/>
          <w:szCs w:val="22"/>
        </w:rPr>
        <w:t>The Unseen Realm</w:t>
      </w:r>
      <w:r>
        <w:rPr>
          <w:rFonts w:ascii="Times New Roman" w:hAnsi="Times New Roman" w:cs="Times New Roman"/>
          <w:sz w:val="22"/>
          <w:szCs w:val="22"/>
        </w:rPr>
        <w:t>, 295–302.</w:t>
      </w:r>
    </w:p>
    <w:p w14:paraId="3CB94190" w14:textId="77777777" w:rsidR="00D90EB8" w:rsidRPr="00850CC8" w:rsidRDefault="00D90EB8" w:rsidP="00850CC8">
      <w:pPr>
        <w:spacing w:line="276" w:lineRule="auto"/>
        <w:rPr>
          <w:rFonts w:ascii="Times New Roman" w:hAnsi="Times New Roman" w:cs="Times New Roman"/>
          <w:sz w:val="22"/>
          <w:szCs w:val="22"/>
        </w:rPr>
      </w:pPr>
    </w:p>
    <w:p w14:paraId="2A150FB9" w14:textId="77777777" w:rsidR="00D90EB8" w:rsidRPr="00850CC8" w:rsidRDefault="00D90EB8" w:rsidP="00850CC8">
      <w:pPr>
        <w:spacing w:before="120" w:line="276" w:lineRule="auto"/>
        <w:ind w:firstLine="720"/>
        <w:jc w:val="both"/>
        <w:rPr>
          <w:rFonts w:ascii="Times New Roman" w:hAnsi="Times New Roman" w:cs="Times New Roman"/>
          <w:sz w:val="22"/>
          <w:szCs w:val="22"/>
        </w:rPr>
      </w:pPr>
      <w:r>
        <w:rPr>
          <w:rFonts w:ascii="Times New Roman" w:hAnsi="Times New Roman" w:cs="Times New Roman"/>
          <w:sz w:val="22"/>
          <w:szCs w:val="22"/>
        </w:rPr>
        <w:t xml:space="preserve">4. The structural relationship between the two halves of Psalm 19 has been extensively discussed. The most influential recent treatment is Alec Motyer, “The Psalms,” in </w:t>
      </w:r>
      <w:r>
        <w:rPr>
          <w:rFonts w:ascii="Times New Roman" w:hAnsi="Times New Roman" w:cs="Times New Roman"/>
          <w:i/>
          <w:iCs/>
          <w:sz w:val="22"/>
          <w:szCs w:val="22"/>
        </w:rPr>
        <w:t>New Bible Commentary</w:t>
      </w:r>
      <w:r>
        <w:rPr>
          <w:rFonts w:ascii="Times New Roman" w:hAnsi="Times New Roman" w:cs="Times New Roman"/>
          <w:sz w:val="22"/>
          <w:szCs w:val="22"/>
        </w:rPr>
        <w:t xml:space="preserve">, ed. D. A. Carson et al., 4th ed. (Downers Grove: IVP, 1994), 492–493, who argues that the psalm presents the created order and the moral order as two registers of a single divine self-disclosure, the one wordless and universal, the other verbal and particular, but both originating in the same divine character and pointing toward the same divine reality. C. S. Lewis’s observation in </w:t>
      </w:r>
      <w:r>
        <w:rPr>
          <w:rFonts w:ascii="Times New Roman" w:hAnsi="Times New Roman" w:cs="Times New Roman"/>
          <w:i/>
          <w:iCs/>
          <w:sz w:val="22"/>
          <w:szCs w:val="22"/>
        </w:rPr>
        <w:t>Reflections on the Psalms</w:t>
      </w:r>
      <w:r>
        <w:rPr>
          <w:rFonts w:ascii="Times New Roman" w:hAnsi="Times New Roman" w:cs="Times New Roman"/>
          <w:sz w:val="22"/>
          <w:szCs w:val="22"/>
        </w:rPr>
        <w:t xml:space="preserve"> (New York: Harcourt, 1958), 63–65, that the connection between the two halves of the psalm is not incidental but essential to its argument, remains one of the most accessible treatments of the point.</w:t>
      </w:r>
    </w:p>
    <w:p w14:paraId="050900F4" w14:textId="77777777" w:rsidR="00D90EB8" w:rsidRPr="00850CC8" w:rsidRDefault="00D90EB8" w:rsidP="00850CC8">
      <w:pPr>
        <w:spacing w:line="276" w:lineRule="auto"/>
        <w:rPr>
          <w:rFonts w:ascii="Times New Roman" w:hAnsi="Times New Roman" w:cs="Times New Roman"/>
          <w:sz w:val="22"/>
          <w:szCs w:val="22"/>
        </w:rPr>
      </w:pPr>
    </w:p>
    <w:p w14:paraId="457654D3" w14:textId="77777777" w:rsidR="00D90EB8" w:rsidRPr="00850CC8" w:rsidRDefault="00D90EB8" w:rsidP="00850CC8">
      <w:pPr>
        <w:spacing w:before="120" w:line="276" w:lineRule="auto"/>
        <w:ind w:firstLine="720"/>
        <w:jc w:val="both"/>
        <w:rPr>
          <w:rFonts w:ascii="Times New Roman" w:hAnsi="Times New Roman" w:cs="Times New Roman"/>
          <w:sz w:val="22"/>
          <w:szCs w:val="22"/>
        </w:rPr>
      </w:pPr>
      <w:r>
        <w:rPr>
          <w:rFonts w:ascii="Times New Roman" w:hAnsi="Times New Roman" w:cs="Times New Roman"/>
          <w:sz w:val="22"/>
          <w:szCs w:val="22"/>
        </w:rPr>
        <w:t xml:space="preserve">5. N. T. Wright, </w:t>
      </w:r>
      <w:r>
        <w:rPr>
          <w:rFonts w:ascii="Times New Roman" w:hAnsi="Times New Roman" w:cs="Times New Roman"/>
          <w:i/>
          <w:iCs/>
          <w:sz w:val="22"/>
          <w:szCs w:val="22"/>
        </w:rPr>
        <w:t>Surprised by Hope: Rethinking Heaven, the Resurrection, and the Mission of the Church</w:t>
      </w:r>
      <w:r>
        <w:rPr>
          <w:rFonts w:ascii="Times New Roman" w:hAnsi="Times New Roman" w:cs="Times New Roman"/>
          <w:sz w:val="22"/>
          <w:szCs w:val="22"/>
        </w:rPr>
        <w:t xml:space="preserve"> (San Francisco: HarperOne, 2008), 196–218. Wright’s account of the human vocation in the new creation, developed here and at greater length in </w:t>
      </w:r>
      <w:r>
        <w:rPr>
          <w:rFonts w:ascii="Times New Roman" w:hAnsi="Times New Roman" w:cs="Times New Roman"/>
          <w:i/>
          <w:iCs/>
          <w:sz w:val="22"/>
          <w:szCs w:val="22"/>
        </w:rPr>
        <w:t>After You Believe: Why Christian Character Matters</w:t>
      </w:r>
      <w:r>
        <w:rPr>
          <w:rFonts w:ascii="Times New Roman" w:hAnsi="Times New Roman" w:cs="Times New Roman"/>
          <w:sz w:val="22"/>
          <w:szCs w:val="22"/>
        </w:rPr>
        <w:t xml:space="preserve"> (San Francisco: HarperOne, 2010), 59–95, consistently distinguishes between the performance model of ethics, in which moral action is a contribution to a project that requires it, and the vocation model, in which moral action is the expression of an identity that has been constituted by a prior calling and a prior love. The distinction is directly relevant to the present argument.</w:t>
      </w:r>
    </w:p>
    <w:p w14:paraId="67A107BA" w14:textId="77777777" w:rsidR="00D90EB8" w:rsidRPr="00850CC8" w:rsidRDefault="00D90EB8" w:rsidP="00850CC8">
      <w:pPr>
        <w:spacing w:line="276" w:lineRule="auto"/>
        <w:rPr>
          <w:rFonts w:ascii="Times New Roman" w:hAnsi="Times New Roman" w:cs="Times New Roman"/>
          <w:sz w:val="22"/>
          <w:szCs w:val="22"/>
        </w:rPr>
      </w:pPr>
    </w:p>
    <w:p w14:paraId="27B26C0C" w14:textId="77777777" w:rsidR="00D90EB8" w:rsidRPr="00850CC8" w:rsidRDefault="00D90EB8" w:rsidP="00850CC8">
      <w:pPr>
        <w:spacing w:before="120" w:line="276" w:lineRule="auto"/>
        <w:ind w:firstLine="720"/>
        <w:jc w:val="both"/>
        <w:rPr>
          <w:rFonts w:ascii="Times New Roman" w:hAnsi="Times New Roman" w:cs="Times New Roman"/>
          <w:sz w:val="22"/>
          <w:szCs w:val="22"/>
        </w:rPr>
      </w:pPr>
      <w:r>
        <w:rPr>
          <w:rFonts w:ascii="Times New Roman" w:hAnsi="Times New Roman" w:cs="Times New Roman"/>
          <w:sz w:val="22"/>
          <w:szCs w:val="22"/>
        </w:rPr>
        <w:t xml:space="preserve">6. Edwards, </w:t>
      </w:r>
      <w:r>
        <w:rPr>
          <w:rFonts w:ascii="Times New Roman" w:hAnsi="Times New Roman" w:cs="Times New Roman"/>
          <w:i/>
          <w:iCs/>
          <w:sz w:val="22"/>
          <w:szCs w:val="22"/>
        </w:rPr>
        <w:t>Concerning the End for Which God Created the World</w:t>
      </w:r>
      <w:r>
        <w:rPr>
          <w:rFonts w:ascii="Times New Roman" w:hAnsi="Times New Roman" w:cs="Times New Roman"/>
          <w:sz w:val="22"/>
          <w:szCs w:val="22"/>
        </w:rPr>
        <w:t xml:space="preserve">, 531–533. The image of the beams of glory returning to their source is one of the most evocative formulations in Edwards’s discussion of the end of creation, and it has been widely cited in subsequent discussions of the relationship between divine glory and creaturely existence. For a careful analysis of what Edwards means by the claim that the creatures’ participation in the divine fullness does not increase that fullness but expresses it, see Sang Hyun </w:t>
        <w:lastRenderedPageBreak/>
        <w:t xml:space="preserve">Lee, </w:t>
      </w:r>
      <w:r>
        <w:rPr>
          <w:rFonts w:ascii="Times New Roman" w:hAnsi="Times New Roman" w:cs="Times New Roman"/>
          <w:i/>
          <w:iCs/>
          <w:sz w:val="22"/>
          <w:szCs w:val="22"/>
        </w:rPr>
        <w:t>The Philosophical Theology of Jonathan Edwards</w:t>
      </w:r>
      <w:r>
        <w:rPr>
          <w:rFonts w:ascii="Times New Roman" w:hAnsi="Times New Roman" w:cs="Times New Roman"/>
          <w:sz w:val="22"/>
          <w:szCs w:val="22"/>
        </w:rPr>
        <w:t>, expanded ed. (Princeton: Princeton University Press, 2000), 177–203.</w:t>
      </w:r>
    </w:p>
    <w:p w14:paraId="02E7DD68" w14:textId="77777777" w:rsidR="00D90EB8" w:rsidRPr="00850CC8" w:rsidRDefault="00D90EB8" w:rsidP="00850CC8">
      <w:pPr>
        <w:spacing w:line="276" w:lineRule="auto"/>
        <w:rPr>
          <w:rFonts w:ascii="Times New Roman" w:hAnsi="Times New Roman" w:cs="Times New Roman"/>
          <w:sz w:val="22"/>
          <w:szCs w:val="22"/>
        </w:rPr>
      </w:pPr>
    </w:p>
    <w:p w14:paraId="1425987B" w14:textId="77777777" w:rsidR="00D90EB8" w:rsidRPr="00850CC8" w:rsidRDefault="00D90EB8" w:rsidP="00850CC8">
      <w:pPr>
        <w:spacing w:before="120" w:line="276" w:lineRule="auto"/>
        <w:ind w:firstLine="720"/>
        <w:jc w:val="both"/>
        <w:rPr>
          <w:rFonts w:ascii="Times New Roman" w:hAnsi="Times New Roman" w:cs="Times New Roman"/>
          <w:sz w:val="22"/>
          <w:szCs w:val="22"/>
        </w:rPr>
      </w:pPr>
      <w:r>
        <w:rPr>
          <w:rFonts w:ascii="Times New Roman" w:hAnsi="Times New Roman" w:cs="Times New Roman"/>
          <w:sz w:val="22"/>
          <w:szCs w:val="22"/>
        </w:rPr>
        <w:t xml:space="preserve">7. The interpretation of the Job prologue as a cosmic demonstration has been developed in different ways by a number of scholars. Gustavo Gutiérrez, </w:t>
      </w:r>
      <w:r>
        <w:rPr>
          <w:rFonts w:ascii="Times New Roman" w:hAnsi="Times New Roman" w:cs="Times New Roman"/>
          <w:i/>
          <w:iCs/>
          <w:sz w:val="22"/>
          <w:szCs w:val="22"/>
        </w:rPr>
        <w:t>On Job: God-Talk and the Suffering of the Innocent</w:t>
      </w:r>
      <w:r>
        <w:rPr>
          <w:rFonts w:ascii="Times New Roman" w:hAnsi="Times New Roman" w:cs="Times New Roman"/>
          <w:sz w:val="22"/>
          <w:szCs w:val="22"/>
        </w:rPr>
        <w:t xml:space="preserve">, trans. Matthew J. O’Connell (Maryknoll: Orbis, 1987), 1–15, emphasizes the way in which Job’s perseverance constitutes a form of disinterested faith that answers the adversary’s challenge on its own terms. For the connection between the Job prologue and the divine council theology, see Heiser, </w:t>
      </w:r>
      <w:r>
        <w:rPr>
          <w:rFonts w:ascii="Times New Roman" w:hAnsi="Times New Roman" w:cs="Times New Roman"/>
          <w:i/>
          <w:iCs/>
          <w:sz w:val="22"/>
          <w:szCs w:val="22"/>
        </w:rPr>
        <w:t>The Unseen Realm</w:t>
      </w:r>
      <w:r>
        <w:rPr>
          <w:rFonts w:ascii="Times New Roman" w:hAnsi="Times New Roman" w:cs="Times New Roman"/>
          <w:sz w:val="22"/>
          <w:szCs w:val="22"/>
        </w:rPr>
        <w:t xml:space="preserve">, 55–68, and for a careful exegetical treatment of the prologue that takes seriously its cosmic framing, see John E. Hartley, </w:t>
      </w:r>
      <w:r>
        <w:rPr>
          <w:rFonts w:ascii="Times New Roman" w:hAnsi="Times New Roman" w:cs="Times New Roman"/>
          <w:i/>
          <w:iCs/>
          <w:sz w:val="22"/>
          <w:szCs w:val="22"/>
        </w:rPr>
        <w:t>The Book of Job</w:t>
      </w:r>
      <w:r>
        <w:rPr>
          <w:rFonts w:ascii="Times New Roman" w:hAnsi="Times New Roman" w:cs="Times New Roman"/>
          <w:sz w:val="22"/>
          <w:szCs w:val="22"/>
        </w:rPr>
        <w:t>, New International Commentary on the Old Testament (Grand Rapids: Eerdmans, 1988), 66–81.</w:t>
      </w:r>
    </w:p>
    <w:p w14:paraId="015754EC" w14:textId="77777777" w:rsidR="00D90EB8" w:rsidRPr="00850CC8" w:rsidRDefault="00D90EB8" w:rsidP="00850CC8">
      <w:pPr>
        <w:spacing w:line="276" w:lineRule="auto"/>
        <w:rPr>
          <w:rFonts w:ascii="Times New Roman" w:hAnsi="Times New Roman" w:cs="Times New Roman"/>
          <w:sz w:val="22"/>
          <w:szCs w:val="22"/>
        </w:rPr>
      </w:pPr>
    </w:p>
    <w:p w14:paraId="0E6188A0" w14:textId="77777777" w:rsidR="00D90EB8" w:rsidRPr="00850CC8" w:rsidRDefault="00D90EB8" w:rsidP="00850CC8">
      <w:pPr>
        <w:spacing w:before="120" w:line="276" w:lineRule="auto"/>
        <w:ind w:firstLine="720"/>
        <w:jc w:val="both"/>
        <w:rPr>
          <w:rFonts w:ascii="Times New Roman" w:hAnsi="Times New Roman" w:cs="Times New Roman"/>
          <w:sz w:val="22"/>
          <w:szCs w:val="22"/>
        </w:rPr>
      </w:pPr>
      <w:r>
        <w:rPr>
          <w:rFonts w:ascii="Times New Roman" w:hAnsi="Times New Roman" w:cs="Times New Roman"/>
          <w:sz w:val="22"/>
          <w:szCs w:val="22"/>
        </w:rPr>
        <w:t xml:space="preserve">8. The connection between Ephesians 3:10 and the broader Pauline account of the cosmic scope of reconciliation is developed in N. T. Wright, </w:t>
      </w:r>
      <w:r>
        <w:rPr>
          <w:rFonts w:ascii="Times New Roman" w:hAnsi="Times New Roman" w:cs="Times New Roman"/>
          <w:i/>
          <w:iCs/>
          <w:sz w:val="22"/>
          <w:szCs w:val="22"/>
        </w:rPr>
        <w:t>Paul and the Faithfulness of God</w:t>
      </w:r>
      <w:r>
        <w:rPr>
          <w:rFonts w:ascii="Times New Roman" w:hAnsi="Times New Roman" w:cs="Times New Roman"/>
          <w:sz w:val="22"/>
          <w:szCs w:val="22"/>
        </w:rPr>
        <w:t xml:space="preserve">, 2 vols. (Minneapolis: Fortress, 2013), 2:1044–57. Wright’s argument that the Pauline mission is understood by Paul himself as the means by which the purposes of God for the whole cosmos are being worked out, and that the community of the redeemed is therefore the visible embodiment of those purposes before both human and supernatural audiences, is directly relevant to the claim of the present section. For a complementary treatment from a different theological tradition, see Hans Urs von Balthasar, </w:t>
      </w:r>
      <w:r>
        <w:rPr>
          <w:rFonts w:ascii="Times New Roman" w:hAnsi="Times New Roman" w:cs="Times New Roman"/>
          <w:i/>
          <w:iCs/>
          <w:sz w:val="22"/>
          <w:szCs w:val="22"/>
        </w:rPr>
        <w:t>Theo-Drama: Theological Dramatic Theory, vol. 1: Prolegomena</w:t>
      </w:r>
      <w:r>
        <w:rPr>
          <w:rFonts w:ascii="Times New Roman" w:hAnsi="Times New Roman" w:cs="Times New Roman"/>
          <w:sz w:val="22"/>
          <w:szCs w:val="22"/>
        </w:rPr>
        <w:t>, trans. Graham Harrison (San Francisco: Ignatius Press, 1988), 125–140, who develops the theatrical metaphor in a direction consistent with, though distinct from, the present argument.</w:t>
      </w:r>
    </w:p>
    <w:p w14:paraId="4EC32004" w14:textId="77777777" w:rsidR="00D90EB8" w:rsidRPr="00850CC8" w:rsidRDefault="00D90EB8" w:rsidP="00850CC8">
      <w:pPr>
        <w:spacing w:line="276" w:lineRule="auto"/>
        <w:rPr>
          <w:rFonts w:ascii="Times New Roman" w:hAnsi="Times New Roman" w:cs="Times New Roman"/>
          <w:sz w:val="22"/>
          <w:szCs w:val="22"/>
        </w:rPr>
      </w:pPr>
    </w:p>
    <w:p w14:paraId="2EB02025" w14:textId="77777777" w:rsidR="00D90EB8" w:rsidRPr="00850CC8" w:rsidRDefault="00D90EB8" w:rsidP="00850CC8">
      <w:pPr>
        <w:spacing w:before="120" w:line="276" w:lineRule="auto"/>
        <w:ind w:firstLine="720"/>
        <w:jc w:val="both"/>
        <w:rPr>
          <w:rFonts w:ascii="Times New Roman" w:hAnsi="Times New Roman" w:cs="Times New Roman"/>
          <w:sz w:val="22"/>
          <w:szCs w:val="22"/>
        </w:rPr>
      </w:pPr>
      <w:r>
        <w:rPr>
          <w:rFonts w:ascii="Times New Roman" w:hAnsi="Times New Roman" w:cs="Times New Roman"/>
          <w:sz w:val="22"/>
          <w:szCs w:val="22"/>
        </w:rPr>
        <w:t xml:space="preserve">9. The eschatological dimension of the argument draws on O’Donovan’s account of the resurrection as the confirmation of the created moral order, discussed in Chapter Five, note 5. For the specific connection between Romans 8:19–21 and the eschatological completion of the display of divine character, see Douglas J. Moo, </w:t>
      </w:r>
      <w:r>
        <w:rPr>
          <w:rFonts w:ascii="Times New Roman" w:hAnsi="Times New Roman" w:cs="Times New Roman"/>
          <w:i/>
          <w:iCs/>
          <w:sz w:val="22"/>
          <w:szCs w:val="22"/>
        </w:rPr>
        <w:t>The Epistle to the Romans</w:t>
      </w:r>
      <w:r>
        <w:rPr>
          <w:rFonts w:ascii="Times New Roman" w:hAnsi="Times New Roman" w:cs="Times New Roman"/>
          <w:sz w:val="22"/>
          <w:szCs w:val="22"/>
        </w:rPr>
        <w:t xml:space="preserve">, 513–521. Moo argues that the creation’s liberation in Romans 8 is directly tied to the glorification of the children of God, and that this connection is not incidental but reflects Paul’s conviction that the destiny of the creation and the destiny of image-bearing humanity are inseparably linked. For the broader theological context, see Jürgen Moltmann, </w:t>
      </w:r>
      <w:r>
        <w:rPr>
          <w:rFonts w:ascii="Times New Roman" w:hAnsi="Times New Roman" w:cs="Times New Roman"/>
          <w:i/>
          <w:iCs/>
          <w:sz w:val="22"/>
          <w:szCs w:val="22"/>
        </w:rPr>
        <w:t>The Coming of God: Christian Eschatology</w:t>
      </w:r>
      <w:r>
        <w:rPr>
          <w:rFonts w:ascii="Times New Roman" w:hAnsi="Times New Roman" w:cs="Times New Roman"/>
          <w:sz w:val="22"/>
          <w:szCs w:val="22"/>
        </w:rPr>
        <w:t>, trans. Margaret Kohl (Minneapolis: Fortress, 1996), 259–279.</w:t>
      </w:r>
    </w:p>
    <w:p w14:paraId="35CDEFC7" w14:textId="77777777" w:rsidR="00D90EB8" w:rsidRPr="00850CC8" w:rsidRDefault="00D90EB8" w:rsidP="00850CC8">
      <w:pPr>
        <w:spacing w:line="276" w:lineRule="auto"/>
        <w:rPr>
          <w:rFonts w:ascii="Times New Roman" w:hAnsi="Times New Roman" w:cs="Times New Roman"/>
          <w:sz w:val="22"/>
          <w:szCs w:val="22"/>
        </w:rPr>
      </w:pPr>
    </w:p>
    <w:p w14:paraId="387471F2" w14:textId="77777777" w:rsidR="00D90EB8" w:rsidRPr="00850CC8" w:rsidRDefault="00D90EB8" w:rsidP="00850CC8">
      <w:pPr>
        <w:spacing w:before="120" w:line="276" w:lineRule="auto"/>
        <w:ind w:firstLine="720"/>
        <w:jc w:val="both"/>
        <w:rPr>
          <w:rFonts w:ascii="Times New Roman" w:hAnsi="Times New Roman" w:cs="Times New Roman"/>
          <w:sz w:val="22"/>
          <w:szCs w:val="22"/>
        </w:rPr>
      </w:pPr>
      <w:r>
        <w:rPr>
          <w:rFonts w:ascii="Times New Roman" w:hAnsi="Times New Roman" w:cs="Times New Roman"/>
          <w:sz w:val="22"/>
          <w:szCs w:val="22"/>
        </w:rPr>
        <w:t xml:space="preserve">10. The interpretation of Romans 12:1 as the hinge between the indicative of Romans 1–11 and the imperative of Romans 12–15 is standard in Pauline scholarship. For a careful treatment of the specific term </w:t>
      </w:r>
      <w:r>
        <w:rPr>
          <w:rFonts w:ascii="Times New Roman" w:hAnsi="Times New Roman" w:cs="Times New Roman"/>
          <w:i/>
          <w:iCs/>
          <w:sz w:val="22"/>
          <w:szCs w:val="22"/>
        </w:rPr>
        <w:t>logikēn latreian</w:t>
      </w:r>
      <w:r>
        <w:rPr>
          <w:rFonts w:ascii="Times New Roman" w:hAnsi="Times New Roman" w:cs="Times New Roman"/>
          <w:sz w:val="22"/>
          <w:szCs w:val="22"/>
        </w:rPr>
        <w:t xml:space="preserve"> (spiritual worship or rational service) and its relationship to the cultic language of sacrifice, see Moo, </w:t>
      </w:r>
      <w:r>
        <w:rPr>
          <w:rFonts w:ascii="Times New Roman" w:hAnsi="Times New Roman" w:cs="Times New Roman"/>
          <w:i/>
          <w:iCs/>
          <w:sz w:val="22"/>
          <w:szCs w:val="22"/>
        </w:rPr>
        <w:t>The Epistle to the Romans</w:t>
      </w:r>
      <w:r>
        <w:rPr>
          <w:rFonts w:ascii="Times New Roman" w:hAnsi="Times New Roman" w:cs="Times New Roman"/>
          <w:sz w:val="22"/>
          <w:szCs w:val="22"/>
        </w:rPr>
        <w:t>, 751–757. Moo argues that Paul is deliberately recasting the language of Jewish temple worship in terms of the embodied, communal moral life of the congregation, and that this recasting does not diminish but transforms the cultic meaning: the moral life is not a replacement for worship but its proper bodily form under the new covenant.</w:t>
      </w:r>
    </w:p>
    <w:p w14:paraId="664423C8" w14:textId="77777777" w:rsidR="00D90EB8" w:rsidRPr="00850CC8" w:rsidRDefault="00D90EB8" w:rsidP="00850CC8">
      <w:pPr>
        <w:spacing w:line="276" w:lineRule="auto"/>
        <w:rPr>
          <w:rFonts w:ascii="Times New Roman" w:hAnsi="Times New Roman" w:cs="Times New Roman"/>
          <w:sz w:val="22"/>
          <w:szCs w:val="22"/>
        </w:rPr>
      </w:pPr>
    </w:p>
    <w:p w14:paraId="5F1DABD0" w14:textId="77777777" w:rsidR="00D90EB8" w:rsidRPr="00850CC8" w:rsidRDefault="00D90EB8" w:rsidP="00850CC8">
      <w:pPr>
        <w:spacing w:before="120" w:line="276" w:lineRule="auto"/>
        <w:ind w:firstLine="720"/>
        <w:jc w:val="both"/>
        <w:rPr>
          <w:rFonts w:ascii="Times New Roman" w:hAnsi="Times New Roman" w:cs="Times New Roman"/>
          <w:sz w:val="22"/>
          <w:szCs w:val="22"/>
        </w:rPr>
      </w:pPr>
      <w:r>
        <w:rPr>
          <w:rFonts w:ascii="Times New Roman" w:hAnsi="Times New Roman" w:cs="Times New Roman"/>
          <w:sz w:val="22"/>
          <w:szCs w:val="22"/>
        </w:rPr>
        <w:t xml:space="preserve">11. The doxological account of the moral life developed in this final section stands in a tradition that includes, among others, Dietrich Bonhoeffer’s account of the “conformation” of human life to the form </w:t>
        <w:lastRenderedPageBreak/>
        <w:t xml:space="preserve">of Christ in </w:t>
      </w:r>
      <w:r>
        <w:rPr>
          <w:rFonts w:ascii="Times New Roman" w:hAnsi="Times New Roman" w:cs="Times New Roman"/>
          <w:i/>
          <w:iCs/>
          <w:sz w:val="22"/>
          <w:szCs w:val="22"/>
        </w:rPr>
        <w:t>Ethics</w:t>
      </w:r>
      <w:r>
        <w:rPr>
          <w:rFonts w:ascii="Times New Roman" w:hAnsi="Times New Roman" w:cs="Times New Roman"/>
          <w:sz w:val="22"/>
          <w:szCs w:val="22"/>
        </w:rPr>
        <w:t xml:space="preserve">, ed. Clifford J. Green, trans. Reinhard Krauss et al. (Minneapolis: Fortress, 2005), 76–92, and Hans Urs von Balthasar’s account of the moral life as a participation in the “theo-drama” of divine self-revelation. For the most systematic recent treatment of ethics as doxology, see Jonathan R. Wilson, </w:t>
      </w:r>
      <w:r>
        <w:rPr>
          <w:rFonts w:ascii="Times New Roman" w:hAnsi="Times New Roman" w:cs="Times New Roman"/>
          <w:i/>
          <w:iCs/>
          <w:sz w:val="22"/>
          <w:szCs w:val="22"/>
        </w:rPr>
        <w:t>God So Loved the World: A Christology for Disciples</w:t>
      </w:r>
      <w:r>
        <w:rPr>
          <w:rFonts w:ascii="Times New Roman" w:hAnsi="Times New Roman" w:cs="Times New Roman"/>
          <w:sz w:val="22"/>
          <w:szCs w:val="22"/>
        </w:rPr>
        <w:t xml:space="preserve"> (Grand Rapids: Baker Academic, 2001), 165–182, and more broadly, the account of ethics as “spiritual worship” developed in Oliver O’Donovan, </w:t>
      </w:r>
      <w:r>
        <w:rPr>
          <w:rFonts w:ascii="Times New Roman" w:hAnsi="Times New Roman" w:cs="Times New Roman"/>
          <w:i/>
          <w:iCs/>
          <w:sz w:val="22"/>
          <w:szCs w:val="22"/>
        </w:rPr>
        <w:t>Self, World, and Time: Ethics as Theology, vol. 1</w:t>
      </w:r>
      <w:r>
        <w:rPr>
          <w:rFonts w:ascii="Times New Roman" w:hAnsi="Times New Roman" w:cs="Times New Roman"/>
          <w:sz w:val="22"/>
          <w:szCs w:val="22"/>
        </w:rPr>
        <w:t xml:space="preserve"> (Grand Rapids: Eerdmans, 2013), 3–22.</w:t>
      </w:r>
    </w:p>
    <w:p w14:paraId="1B008268" w14:textId="5138AFA3" w:rsidR="002C7268" w:rsidRPr="00850CC8" w:rsidRDefault="002C7268" w:rsidP="00850CC8">
      <w:pPr>
        <w:spacing w:line="276" w:lineRule="auto"/>
        <w:rPr>
          <w:rFonts w:ascii="Times New Roman" w:hAnsi="Times New Roman" w:cs="Times New Roman"/>
          <w:sz w:val="22"/>
          <w:szCs w:val="22"/>
        </w:rPr>
      </w:pPr>
      <w:r>
        <w:rPr>
          <w:rFonts w:ascii="Times New Roman" w:hAnsi="Times New Roman" w:cs="Times New Roman"/>
          <w:sz w:val="22"/>
          <w:szCs w:val="22"/>
        </w:rPr>
        <w:br w:type="page"/>
      </w:r>
    </w:p>
    <w:p w14:paraId="46F4DAA6" w14:textId="77777777" w:rsidR="002C7268" w:rsidRPr="00850CC8" w:rsidRDefault="002C7268" w:rsidP="00850CC8">
      <w:pPr>
        <w:pStyle w:val="Heading1"/>
        <w:spacing w:line="276" w:lineRule="auto"/>
        <w:jc w:val="center"/>
        <w:rPr>
          <w:rFonts w:ascii="Times New Roman" w:hAnsi="Times New Roman" w:cs="Times New Roman"/>
          <w:color w:val="000000" w:themeColor="text1"/>
          <w:sz w:val="22"/>
          <w:szCs w:val="22"/>
        </w:rPr>
      </w:pPr>
      <w:bookmarkStart w:id="52" w:name="_Toc228335858"/>
      <w:r>
        <w:rPr>
          <w:rFonts w:ascii="Times New Roman" w:hAnsi="Times New Roman" w:cs="Times New Roman"/>
          <w:color w:val="000000" w:themeColor="text1"/>
          <w:sz w:val="22"/>
          <w:szCs w:val="22"/>
        </w:rPr>
        <w:lastRenderedPageBreak/>
        <w:t>Conclusion</w:t>
        <w:br/>
        <w:t>The Shape of a Life</w:t>
      </w:r>
      <w:bookmarkEnd w:id="52"/>
    </w:p>
    <w:p w14:paraId="3A74F30A" w14:textId="77777777" w:rsidR="002C7268" w:rsidRPr="00850CC8" w:rsidRDefault="002C7268" w:rsidP="00850CC8">
      <w:pPr>
        <w:pStyle w:val="Heading1"/>
        <w:spacing w:line="276" w:lineRule="auto"/>
        <w:jc w:val="center"/>
        <w:rPr>
          <w:rFonts w:ascii="Times New Roman" w:hAnsi="Times New Roman" w:cs="Times New Roman"/>
          <w:color w:val="000000" w:themeColor="text1"/>
          <w:sz w:val="22"/>
          <w:szCs w:val="22"/>
        </w:rPr>
      </w:pPr>
    </w:p>
    <w:p w14:paraId="339C8D37" w14:textId="77777777" w:rsidR="002C7268" w:rsidRPr="00850CC8" w:rsidRDefault="002C7268" w:rsidP="00850CC8">
      <w:pPr>
        <w:spacing w:line="276" w:lineRule="auto"/>
        <w:jc w:val="both"/>
        <w:rPr>
          <w:rFonts w:ascii="Times New Roman" w:hAnsi="Times New Roman" w:cs="Times New Roman"/>
          <w:sz w:val="22"/>
          <w:szCs w:val="22"/>
        </w:rPr>
      </w:pPr>
      <w:r>
        <w:rPr>
          <w:rFonts w:ascii="Times New Roman" w:hAnsi="Times New Roman" w:cs="Times New Roman"/>
          <w:sz w:val="22"/>
          <w:szCs w:val="22"/>
        </w:rPr>
        <w:t>There is something important in the fact that the sentence this book keeps returning to is not a command. It is a statement: “We love because he first loved us.” Not “we must love” or “we ought to love” or “we are required to love.” We love because we have been loved first. The ethical life, as this book has tried to describe it, flows from that prior reality rather than generating itself from its own resources.</w:t>
      </w:r>
    </w:p>
    <w:p w14:paraId="17E254DE" w14:textId="77777777" w:rsidR="002C7268" w:rsidRPr="00850CC8" w:rsidRDefault="002C7268" w:rsidP="00850CC8">
      <w:pPr>
        <w:spacing w:line="276" w:lineRule="auto"/>
        <w:rPr>
          <w:rFonts w:ascii="Times New Roman" w:hAnsi="Times New Roman" w:cs="Times New Roman"/>
          <w:sz w:val="22"/>
          <w:szCs w:val="22"/>
        </w:rPr>
      </w:pPr>
    </w:p>
    <w:p w14:paraId="60DE92FA" w14:textId="77777777" w:rsidR="002C7268" w:rsidRPr="00850CC8" w:rsidRDefault="002C7268"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I want to say, as directly as I can, what I think follows from this at the end.</w:t>
      </w:r>
    </w:p>
    <w:p w14:paraId="55B961DA" w14:textId="77777777" w:rsidR="002C7268" w:rsidRPr="00850CC8" w:rsidRDefault="002C7268" w:rsidP="00850CC8">
      <w:pPr>
        <w:spacing w:line="276" w:lineRule="auto"/>
        <w:rPr>
          <w:rFonts w:ascii="Times New Roman" w:hAnsi="Times New Roman" w:cs="Times New Roman"/>
          <w:sz w:val="22"/>
          <w:szCs w:val="22"/>
        </w:rPr>
      </w:pPr>
    </w:p>
    <w:p w14:paraId="43EBCAA7" w14:textId="77777777" w:rsidR="002C7268" w:rsidRPr="00850CC8" w:rsidRDefault="002C7268"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It follows that the moral life is not primarily a burden. That is perhaps the most countercultural thing this book has tried to say, in a moment when ethical discourse tends toward either the therapeutic (ethics as self-fulfillment) or the demanding (ethics as obligation, accountability, the reckoning of debts). Neither account is wrong. The moral life does involve real fulfillment, and it does involve real obligation. But neither the fulfillment account nor the obligation account reaches the deepest level. The deepest level is the one that Jonathan Edwards and the First Letter of John both name, from different angles: love is not self-contained. It moves outward, toward the other, because that is what personal love does. The moral life is the creaturely form of that movement.</w:t>
      </w:r>
    </w:p>
    <w:p w14:paraId="47CA3612" w14:textId="77777777" w:rsidR="002C7268" w:rsidRPr="00850CC8" w:rsidRDefault="002C7268" w:rsidP="00850CC8">
      <w:pPr>
        <w:spacing w:line="276" w:lineRule="auto"/>
        <w:rPr>
          <w:rFonts w:ascii="Times New Roman" w:hAnsi="Times New Roman" w:cs="Times New Roman"/>
          <w:sz w:val="22"/>
          <w:szCs w:val="22"/>
        </w:rPr>
      </w:pPr>
    </w:p>
    <w:p w14:paraId="33891C5E" w14:textId="77777777" w:rsidR="002C7268" w:rsidRPr="00850CC8" w:rsidRDefault="002C7268"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It also follows that the moral life is not primarily lonely. The assumption that the individual, considering her choices in isolation, is the basic unit of ethical analysis is the assumption that Chapter One identified as the root difficulty with Western moral philosophy’s dominant frameworks. That assumption is false not as a matter of sociological observation but as a matter of ontology: the God in whose image we are made is a God whose inner life is constituted by relation, and the creatures he has made to bear his image are constitutively relational before they are anything else. We do not enter relationships from a prior state of independence. We are already in relationships before we can think about whether to enter them, already shaped by communities and histories and obligations that we did not choose and that constitute rather than constrain who we are.</w:t>
      </w:r>
    </w:p>
    <w:p w14:paraId="2E121518" w14:textId="77777777" w:rsidR="002C7268" w:rsidRPr="00850CC8" w:rsidRDefault="002C7268" w:rsidP="00850CC8">
      <w:pPr>
        <w:spacing w:line="276" w:lineRule="auto"/>
        <w:rPr>
          <w:rFonts w:ascii="Times New Roman" w:hAnsi="Times New Roman" w:cs="Times New Roman"/>
          <w:sz w:val="22"/>
          <w:szCs w:val="22"/>
        </w:rPr>
      </w:pPr>
    </w:p>
    <w:p w14:paraId="06C0167C" w14:textId="77777777" w:rsidR="002C7268" w:rsidRPr="00850CC8" w:rsidRDefault="002C7268"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It follows too that the moral life is not primarily about rules, though it includes rules. The two great commandments that Chapter Five analyzed are not exceptions to this pattern but its clearest expression: love God with everything you are and love your neighbor as yourself. These are not complicated. They do not require a legal education or philosophical training to understand. What they require is formation, the long, slow, often painful process by which the self is reoriented from its natural inward curve toward the kind of attention, generosity, and care that the commandments describe. The rules that any particular tradition or community articulate are attempts to specify what that attention, generosity, and care look like in particular circumstances. They are downstream of the commandments, not upstream of them.</w:t>
      </w:r>
    </w:p>
    <w:p w14:paraId="122B4195" w14:textId="77777777" w:rsidR="002C7268" w:rsidRPr="00850CC8" w:rsidRDefault="002C7268" w:rsidP="00850CC8">
      <w:pPr>
        <w:spacing w:line="276" w:lineRule="auto"/>
        <w:rPr>
          <w:rFonts w:ascii="Times New Roman" w:hAnsi="Times New Roman" w:cs="Times New Roman"/>
          <w:sz w:val="22"/>
          <w:szCs w:val="22"/>
        </w:rPr>
      </w:pPr>
    </w:p>
    <w:p w14:paraId="207F9CE4" w14:textId="77777777" w:rsidR="002C7268" w:rsidRPr="00850CC8" w:rsidRDefault="002C7268"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 xml:space="preserve">And it follows, finally, that moral life matters beyond the immediate horizon of its effects. The argument of Chapter Nine, that the world was created as a theatre of divine self-revelation and that the moral life of image-bearing creatures is a participation in that display, is a large claim and I have held it throughout with the tentativeness it deserves. But I believe it is true, and I think it changes the stakes of ordinary life in a way that neither the therapeutic nor the obligation accounts can match. The ordinary acts </w:t>
        <w:lastRenderedPageBreak/>
        <w:t>of faithfulness, honesty, generosity, and care that constitute most of any person’s moral life are not merely beneficial to the people they affect or satisfying to the person who performs them. They are, within the frame that the theology of this book provides, contributions to a demonstration that has a cosmic audience and a significance that outlasts the moment of their occurrence.</w:t>
      </w:r>
    </w:p>
    <w:p w14:paraId="5AB28D4D" w14:textId="77777777" w:rsidR="002C7268" w:rsidRPr="00850CC8" w:rsidRDefault="002C7268" w:rsidP="00850CC8">
      <w:pPr>
        <w:spacing w:line="276" w:lineRule="auto"/>
        <w:rPr>
          <w:rFonts w:ascii="Times New Roman" w:hAnsi="Times New Roman" w:cs="Times New Roman"/>
          <w:sz w:val="22"/>
          <w:szCs w:val="22"/>
        </w:rPr>
      </w:pPr>
    </w:p>
    <w:p w14:paraId="0EE39ED7" w14:textId="77777777" w:rsidR="002C7268" w:rsidRPr="00850CC8" w:rsidRDefault="002C7268" w:rsidP="00850CC8">
      <w:pPr>
        <w:spacing w:before="480" w:after="240" w:line="276" w:lineRule="auto"/>
        <w:rPr>
          <w:rFonts w:ascii="Times New Roman" w:hAnsi="Times New Roman" w:cs="Times New Roman"/>
          <w:sz w:val="22"/>
          <w:szCs w:val="22"/>
        </w:rPr>
      </w:pPr>
      <w:r>
        <w:rPr>
          <w:rFonts w:ascii="Times New Roman" w:hAnsi="Times New Roman" w:cs="Times New Roman"/>
          <w:b/>
          <w:bCs/>
          <w:sz w:val="22"/>
          <w:szCs w:val="22"/>
        </w:rPr>
        <w:t>What This Book Has Not Done</w:t>
      </w:r>
    </w:p>
    <w:p w14:paraId="4D5145BE" w14:textId="77777777" w:rsidR="002C7268" w:rsidRPr="00850CC8" w:rsidRDefault="002C7268" w:rsidP="00850CC8">
      <w:pPr>
        <w:spacing w:line="276" w:lineRule="auto"/>
        <w:jc w:val="both"/>
        <w:rPr>
          <w:rFonts w:ascii="Times New Roman" w:hAnsi="Times New Roman" w:cs="Times New Roman"/>
          <w:sz w:val="22"/>
          <w:szCs w:val="22"/>
        </w:rPr>
      </w:pPr>
      <w:r>
        <w:rPr>
          <w:rFonts w:ascii="Times New Roman" w:hAnsi="Times New Roman" w:cs="Times New Roman"/>
          <w:sz w:val="22"/>
          <w:szCs w:val="22"/>
        </w:rPr>
        <w:t>It is worth being clear, at the end, about the limits of what has been attempted here.</w:t>
      </w:r>
    </w:p>
    <w:p w14:paraId="41ED673C" w14:textId="77777777" w:rsidR="002C7268" w:rsidRPr="00850CC8" w:rsidRDefault="002C7268" w:rsidP="00850CC8">
      <w:pPr>
        <w:spacing w:line="276" w:lineRule="auto"/>
        <w:rPr>
          <w:rFonts w:ascii="Times New Roman" w:hAnsi="Times New Roman" w:cs="Times New Roman"/>
          <w:sz w:val="22"/>
          <w:szCs w:val="22"/>
        </w:rPr>
      </w:pPr>
    </w:p>
    <w:p w14:paraId="4B9E4123" w14:textId="77777777" w:rsidR="002C7268" w:rsidRPr="00850CC8" w:rsidRDefault="002C7268"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This book has not provided a decision procedure. It has not offered a method for resolving moral dilemmas, for adjudicating between competing obligations, or for determining what love requires in every situation. The relational framework it has developed is not an algorithm but an orientation: a way of approaching moral decisions that attends to the right features of situations and asks the right questions. What it does not do is remove the need for practical wisdom, the situational attentiveness, and the personal formation that Chapter Four identified as irreducible dimensions of moral life. No framework can substitute for those things, and any framework that claimed to would be making a promise it could not keep.</w:t>
      </w:r>
    </w:p>
    <w:p w14:paraId="1135BB7A" w14:textId="77777777" w:rsidR="002C7268" w:rsidRPr="00850CC8" w:rsidRDefault="002C7268" w:rsidP="00850CC8">
      <w:pPr>
        <w:spacing w:line="276" w:lineRule="auto"/>
        <w:rPr>
          <w:rFonts w:ascii="Times New Roman" w:hAnsi="Times New Roman" w:cs="Times New Roman"/>
          <w:sz w:val="22"/>
          <w:szCs w:val="22"/>
        </w:rPr>
      </w:pPr>
    </w:p>
    <w:p w14:paraId="5565F00A" w14:textId="77777777" w:rsidR="002C7268" w:rsidRPr="00850CC8" w:rsidRDefault="002C7268"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This book has also not resolved every difficult question it has raised. Chapter Seven was explicit about what remains honestly difficult in the conquest narratives, and that honesty was not rhetorical modesty. The question of children in those narratives resists the framework’s explanatory categories, and saying so is not a failure of the framework but a mark of its integrity. A framework that claimed to resolve every difficulty would be a framework that had stopped taking the difficulties seriously.</w:t>
      </w:r>
    </w:p>
    <w:p w14:paraId="42B69CBB" w14:textId="77777777" w:rsidR="002C7268" w:rsidRPr="00850CC8" w:rsidRDefault="002C7268" w:rsidP="00850CC8">
      <w:pPr>
        <w:spacing w:line="276" w:lineRule="auto"/>
        <w:rPr>
          <w:rFonts w:ascii="Times New Roman" w:hAnsi="Times New Roman" w:cs="Times New Roman"/>
          <w:sz w:val="22"/>
          <w:szCs w:val="22"/>
        </w:rPr>
      </w:pPr>
    </w:p>
    <w:p w14:paraId="72A77764" w14:textId="77777777" w:rsidR="002C7268" w:rsidRPr="00850CC8" w:rsidRDefault="002C7268"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Nor has this book engaged more than a fraction of the literature it might have. The conversation it has joined is large and old, and the thinkers cited in these pages are a representative sample rather than a comprehensive survey. There are voices missing that should not be missing, arguments unaddressed that deserve address, traditions underrepresented that have their own contributions to make. A book that tried to do all of that would be a different and probably worse book. What this one has tried to do is follow the central argument with enough care and consistency that the reader can see where it leads and evaluate whether it leads there well.</w:t>
      </w:r>
    </w:p>
    <w:p w14:paraId="1D9C1FC8" w14:textId="77777777" w:rsidR="002C7268" w:rsidRPr="00850CC8" w:rsidRDefault="002C7268" w:rsidP="00850CC8">
      <w:pPr>
        <w:spacing w:line="276" w:lineRule="auto"/>
        <w:rPr>
          <w:rFonts w:ascii="Times New Roman" w:hAnsi="Times New Roman" w:cs="Times New Roman"/>
          <w:sz w:val="22"/>
          <w:szCs w:val="22"/>
        </w:rPr>
      </w:pPr>
    </w:p>
    <w:p w14:paraId="097BF73A" w14:textId="77777777" w:rsidR="002C7268" w:rsidRPr="00850CC8" w:rsidRDefault="002C7268" w:rsidP="00850CC8">
      <w:pPr>
        <w:spacing w:before="480" w:after="240" w:line="276" w:lineRule="auto"/>
        <w:rPr>
          <w:rFonts w:ascii="Times New Roman" w:hAnsi="Times New Roman" w:cs="Times New Roman"/>
          <w:sz w:val="22"/>
          <w:szCs w:val="22"/>
        </w:rPr>
      </w:pPr>
      <w:r>
        <w:rPr>
          <w:rFonts w:ascii="Times New Roman" w:hAnsi="Times New Roman" w:cs="Times New Roman"/>
          <w:b/>
          <w:bCs/>
          <w:sz w:val="22"/>
          <w:szCs w:val="22"/>
        </w:rPr>
        <w:t>An Invitation</w:t>
      </w:r>
    </w:p>
    <w:p w14:paraId="73C82F0E" w14:textId="77777777" w:rsidR="002C7268" w:rsidRPr="00850CC8" w:rsidRDefault="002C7268" w:rsidP="00850CC8">
      <w:pPr>
        <w:spacing w:line="276" w:lineRule="auto"/>
        <w:jc w:val="both"/>
        <w:rPr>
          <w:rFonts w:ascii="Times New Roman" w:hAnsi="Times New Roman" w:cs="Times New Roman"/>
          <w:sz w:val="22"/>
          <w:szCs w:val="22"/>
        </w:rPr>
      </w:pPr>
      <w:r>
        <w:rPr>
          <w:rFonts w:ascii="Times New Roman" w:hAnsi="Times New Roman" w:cs="Times New Roman"/>
          <w:sz w:val="22"/>
          <w:szCs w:val="22"/>
        </w:rPr>
        <w:t>I want to close not with a summary but with an invitation, because that is the spirit in which this book has been written.</w:t>
      </w:r>
    </w:p>
    <w:p w14:paraId="61C214C2" w14:textId="77777777" w:rsidR="002C7268" w:rsidRPr="00850CC8" w:rsidRDefault="002C7268" w:rsidP="00850CC8">
      <w:pPr>
        <w:spacing w:line="276" w:lineRule="auto"/>
        <w:rPr>
          <w:rFonts w:ascii="Times New Roman" w:hAnsi="Times New Roman" w:cs="Times New Roman"/>
          <w:sz w:val="22"/>
          <w:szCs w:val="22"/>
        </w:rPr>
      </w:pPr>
    </w:p>
    <w:p w14:paraId="6DA34D3C" w14:textId="77777777" w:rsidR="002C7268" w:rsidRPr="00850CC8" w:rsidRDefault="002C7268"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 xml:space="preserve">The invitation is to look again at the moral life you are already living, with the frame this book has tried to provide, and see whether it illuminates things that were previously in shadow. Not the dramatic moments of moral choice that ethical theory tends to focus on, but the ordinary texture of daily life: the quality of attention you bring to the people you encounter, the way you hold your obligations to the particular people who depend on you alongside your obligations to the wider world, the degree to which </w:t>
        <w:lastRenderedPageBreak/>
        <w:t>your moral life flows from a received love or generates itself from a sense of duty, the way you understand and respond to the wrongs you have suffered and the wrongs you have done.</w:t>
      </w:r>
    </w:p>
    <w:p w14:paraId="2CD6F32E" w14:textId="77777777" w:rsidR="002C7268" w:rsidRPr="00850CC8" w:rsidRDefault="002C7268" w:rsidP="00850CC8">
      <w:pPr>
        <w:spacing w:line="276" w:lineRule="auto"/>
        <w:rPr>
          <w:rFonts w:ascii="Times New Roman" w:hAnsi="Times New Roman" w:cs="Times New Roman"/>
          <w:sz w:val="22"/>
          <w:szCs w:val="22"/>
        </w:rPr>
      </w:pPr>
    </w:p>
    <w:p w14:paraId="4D3BF344" w14:textId="77777777" w:rsidR="002C7268" w:rsidRPr="00850CC8" w:rsidRDefault="002C7268"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These are not small things. They are the substance of most of any person’s moral life, and they are the places where the framework this book has developed is most directly applicable. The grand questions of justice and theodicy and cosmological purpose have their place, and this book has tried to address them. But they find their actual expression in the grain of ordinary life: in whether you are fully present to the person in front of you, in whether you bring honesty and care to the relationships that constitute your daily world, in whether the love you extend to others flows from a prior love received or is generated by an effort of will that exhausts itself in the attempt.</w:t>
      </w:r>
    </w:p>
    <w:p w14:paraId="0FF06374" w14:textId="77777777" w:rsidR="002C7268" w:rsidRPr="00850CC8" w:rsidRDefault="002C7268" w:rsidP="00850CC8">
      <w:pPr>
        <w:spacing w:line="276" w:lineRule="auto"/>
        <w:rPr>
          <w:rFonts w:ascii="Times New Roman" w:hAnsi="Times New Roman" w:cs="Times New Roman"/>
          <w:sz w:val="22"/>
          <w:szCs w:val="22"/>
        </w:rPr>
      </w:pPr>
    </w:p>
    <w:p w14:paraId="14241443" w14:textId="77777777" w:rsidR="002C7268" w:rsidRPr="00850CC8" w:rsidRDefault="002C7268" w:rsidP="00850CC8">
      <w:pPr>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The claim of this book is that the prior love is real, and that it is prior to everything. Before the commandments, before the obligations, before the hard work of formation and the costly demands of justice, there is a love that was already at work before we arrived on the scene, already constituting the relational reality within which we live and move and have our being. The moral life is the creaturely response to that prior love. Its shape is the shape of love. Its source is the prior love of God.</w:t>
      </w:r>
    </w:p>
    <w:p w14:paraId="06B6E572" w14:textId="34341923" w:rsidR="008B7250" w:rsidRPr="00850CC8" w:rsidRDefault="008B7250" w:rsidP="00850CC8">
      <w:pPr>
        <w:spacing w:line="276" w:lineRule="auto"/>
        <w:rPr>
          <w:rFonts w:ascii="Times New Roman" w:hAnsi="Times New Roman" w:cs="Times New Roman"/>
          <w:sz w:val="22"/>
          <w:szCs w:val="22"/>
        </w:rPr>
      </w:pPr>
      <w:r>
        <w:rPr>
          <w:rFonts w:ascii="Times New Roman" w:hAnsi="Times New Roman" w:cs="Times New Roman"/>
          <w:sz w:val="22"/>
          <w:szCs w:val="22"/>
        </w:rPr>
        <w:br w:type="page"/>
      </w:r>
    </w:p>
    <w:p w14:paraId="629CA840" w14:textId="77777777" w:rsidR="008B7250" w:rsidRPr="00850CC8" w:rsidRDefault="008B7250" w:rsidP="00850CC8">
      <w:pPr>
        <w:pStyle w:val="Heading1"/>
        <w:spacing w:line="276" w:lineRule="auto"/>
        <w:jc w:val="center"/>
        <w:rPr>
          <w:rFonts w:ascii="Times New Roman" w:hAnsi="Times New Roman" w:cs="Times New Roman"/>
          <w:color w:val="000000" w:themeColor="text1"/>
          <w:sz w:val="22"/>
          <w:szCs w:val="22"/>
        </w:rPr>
      </w:pPr>
      <w:bookmarkStart w:id="53" w:name="_Toc228335859"/>
      <w:r>
        <w:rPr>
          <w:rFonts w:ascii="Times New Roman" w:hAnsi="Times New Roman" w:cs="Times New Roman"/>
          <w:color w:val="000000" w:themeColor="text1"/>
          <w:sz w:val="22"/>
          <w:szCs w:val="22"/>
        </w:rPr>
        <w:lastRenderedPageBreak/>
        <w:t>Annotated Bibliography</w:t>
      </w:r>
      <w:bookmarkEnd w:id="53"/>
    </w:p>
    <w:p w14:paraId="2EEF9437" w14:textId="77777777" w:rsidR="008B7250" w:rsidRPr="00850CC8" w:rsidRDefault="008B7250" w:rsidP="00850CC8">
      <w:pPr>
        <w:spacing w:before="480" w:after="240" w:line="276" w:lineRule="auto"/>
        <w:jc w:val="center"/>
        <w:rPr>
          <w:rFonts w:ascii="Times New Roman" w:hAnsi="Times New Roman" w:cs="Times New Roman"/>
          <w:sz w:val="22"/>
          <w:szCs w:val="22"/>
        </w:rPr>
      </w:pPr>
      <w:r>
        <w:rPr>
          <w:rFonts w:ascii="Times New Roman" w:hAnsi="Times New Roman" w:cs="Times New Roman"/>
          <w:b/>
          <w:bCs/>
          <w:i/>
          <w:iCs/>
          <w:sz w:val="22"/>
          <w:szCs w:val="22"/>
        </w:rPr>
        <w:t>Ancient and Patristic Sources</w:t>
      </w:r>
    </w:p>
    <w:p w14:paraId="3815CA36" w14:textId="77777777" w:rsidR="008B7250" w:rsidRPr="00850CC8" w:rsidRDefault="008B7250" w:rsidP="00850CC8">
      <w:pPr>
        <w:spacing w:before="240" w:line="276" w:lineRule="auto"/>
        <w:jc w:val="both"/>
        <w:rPr>
          <w:rFonts w:ascii="Times New Roman" w:hAnsi="Times New Roman" w:cs="Times New Roman"/>
          <w:sz w:val="22"/>
          <w:szCs w:val="22"/>
        </w:rPr>
      </w:pPr>
      <w:r>
        <w:rPr>
          <w:rFonts w:ascii="Times New Roman" w:hAnsi="Times New Roman" w:cs="Times New Roman"/>
          <w:i/>
          <w:iCs/>
          <w:sz w:val="22"/>
          <w:szCs w:val="22"/>
        </w:rPr>
        <w:t>Aquinas, Thomas. Summa Theologiae.</w:t>
      </w:r>
      <w:r>
        <w:rPr>
          <w:rFonts w:ascii="Times New Roman" w:hAnsi="Times New Roman" w:cs="Times New Roman"/>
          <w:sz w:val="22"/>
          <w:szCs w:val="22"/>
        </w:rPr>
        <w:t xml:space="preserve"> Translated by the Fathers of the English Dominican Province. 5 vols. Westminster, MD: Christian Classics, 1981.</w:t>
      </w:r>
    </w:p>
    <w:p w14:paraId="36FB575A" w14:textId="77777777" w:rsidR="008B7250" w:rsidRPr="00850CC8" w:rsidRDefault="008B7250" w:rsidP="00850CC8">
      <w:pPr>
        <w:spacing w:before="120" w:after="120" w:line="276" w:lineRule="auto"/>
        <w:ind w:left="720"/>
        <w:jc w:val="both"/>
        <w:rPr>
          <w:rFonts w:ascii="Times New Roman" w:hAnsi="Times New Roman" w:cs="Times New Roman"/>
          <w:sz w:val="22"/>
          <w:szCs w:val="22"/>
        </w:rPr>
      </w:pPr>
      <w:r>
        <w:rPr>
          <w:rFonts w:ascii="Times New Roman" w:hAnsi="Times New Roman" w:cs="Times New Roman"/>
          <w:sz w:val="22"/>
          <w:szCs w:val="22"/>
        </w:rPr>
        <w:t>The standard English translation of Aquinas’s systematic theology. Cited in Chapter Five for the treatment of charity in II–II, q. 25, where Aquinas argues that love of God and love of neighbor are expressions of the same virtue rather than two separate obligations. The Thomistic account of charity as a single habit directed toward both God and neighbor provides important historical context for the argument of the present book.</w:t>
      </w:r>
    </w:p>
    <w:p w14:paraId="6352FA73" w14:textId="77777777" w:rsidR="008B7250" w:rsidRPr="00850CC8" w:rsidRDefault="008B7250" w:rsidP="00850CC8">
      <w:pPr>
        <w:spacing w:before="240" w:line="276" w:lineRule="auto"/>
        <w:jc w:val="both"/>
        <w:rPr>
          <w:rFonts w:ascii="Times New Roman" w:hAnsi="Times New Roman" w:cs="Times New Roman"/>
          <w:sz w:val="22"/>
          <w:szCs w:val="22"/>
        </w:rPr>
      </w:pPr>
      <w:r>
        <w:rPr>
          <w:rFonts w:ascii="Times New Roman" w:hAnsi="Times New Roman" w:cs="Times New Roman"/>
          <w:i/>
          <w:iCs/>
          <w:sz w:val="22"/>
          <w:szCs w:val="22"/>
        </w:rPr>
        <w:t>Aristotle. Nicomachean Ethics.</w:t>
      </w:r>
      <w:r>
        <w:rPr>
          <w:rFonts w:ascii="Times New Roman" w:hAnsi="Times New Roman" w:cs="Times New Roman"/>
          <w:sz w:val="22"/>
          <w:szCs w:val="22"/>
        </w:rPr>
        <w:t xml:space="preserve"> Translated by Terence Irwin. 2nd ed. Indianapolis: Hackett, 1999.</w:t>
      </w:r>
    </w:p>
    <w:p w14:paraId="015EF70E" w14:textId="77777777" w:rsidR="008B7250" w:rsidRPr="00850CC8" w:rsidRDefault="008B7250" w:rsidP="00850CC8">
      <w:pPr>
        <w:spacing w:before="120" w:after="120" w:line="276" w:lineRule="auto"/>
        <w:ind w:left="720"/>
        <w:jc w:val="both"/>
        <w:rPr>
          <w:rFonts w:ascii="Times New Roman" w:hAnsi="Times New Roman" w:cs="Times New Roman"/>
          <w:sz w:val="22"/>
          <w:szCs w:val="22"/>
        </w:rPr>
      </w:pPr>
      <w:r>
        <w:rPr>
          <w:rFonts w:ascii="Times New Roman" w:hAnsi="Times New Roman" w:cs="Times New Roman"/>
          <w:sz w:val="22"/>
          <w:szCs w:val="22"/>
        </w:rPr>
        <w:t xml:space="preserve">The foundational text of virtue ethics in the Western tradition, cited in Chapter Four for the treatment of </w:t>
      </w:r>
      <w:r>
        <w:rPr>
          <w:rFonts w:ascii="Times New Roman" w:hAnsi="Times New Roman" w:cs="Times New Roman"/>
          <w:i/>
          <w:iCs/>
          <w:sz w:val="22"/>
          <w:szCs w:val="22"/>
        </w:rPr>
        <w:t>phronēsis</w:t>
      </w:r>
      <w:r>
        <w:rPr>
          <w:rFonts w:ascii="Times New Roman" w:hAnsi="Times New Roman" w:cs="Times New Roman"/>
          <w:sz w:val="22"/>
          <w:szCs w:val="22"/>
        </w:rPr>
        <w:t xml:space="preserve"> as the capacity to discern what a particular situation requires. Book six’s analysis of practical wisdom remains the most careful philosophical treatment of moral perception available, and MacIntyre’s recovery of Aristotle in </w:t>
      </w:r>
      <w:r>
        <w:rPr>
          <w:rFonts w:ascii="Times New Roman" w:hAnsi="Times New Roman" w:cs="Times New Roman"/>
          <w:i/>
          <w:iCs/>
          <w:sz w:val="22"/>
          <w:szCs w:val="22"/>
        </w:rPr>
        <w:t>After Virtue</w:t>
      </w:r>
      <w:r>
        <w:rPr>
          <w:rFonts w:ascii="Times New Roman" w:hAnsi="Times New Roman" w:cs="Times New Roman"/>
          <w:sz w:val="22"/>
          <w:szCs w:val="22"/>
        </w:rPr>
        <w:t xml:space="preserve"> is the most important twentieth-century appropriation of it.</w:t>
      </w:r>
    </w:p>
    <w:p w14:paraId="33388F6E" w14:textId="77777777" w:rsidR="008B7250" w:rsidRPr="00850CC8" w:rsidRDefault="008B7250" w:rsidP="00850CC8">
      <w:pPr>
        <w:spacing w:before="240" w:line="276" w:lineRule="auto"/>
        <w:jc w:val="both"/>
        <w:rPr>
          <w:rFonts w:ascii="Times New Roman" w:hAnsi="Times New Roman" w:cs="Times New Roman"/>
          <w:sz w:val="22"/>
          <w:szCs w:val="22"/>
        </w:rPr>
      </w:pPr>
      <w:r>
        <w:rPr>
          <w:rFonts w:ascii="Times New Roman" w:hAnsi="Times New Roman" w:cs="Times New Roman"/>
          <w:i/>
          <w:iCs/>
          <w:sz w:val="22"/>
          <w:szCs w:val="22"/>
        </w:rPr>
        <w:t>Calvin, John. Institutes of the Christian Religion.</w:t>
      </w:r>
      <w:r>
        <w:rPr>
          <w:rFonts w:ascii="Times New Roman" w:hAnsi="Times New Roman" w:cs="Times New Roman"/>
          <w:sz w:val="22"/>
          <w:szCs w:val="22"/>
        </w:rPr>
        <w:t xml:space="preserve"> Edited by John T. McNeill. Translated by Ford Lewis Battles. Philadelphia: Westminster, 1960.</w:t>
      </w:r>
    </w:p>
    <w:p w14:paraId="1BE34369" w14:textId="77777777" w:rsidR="008B7250" w:rsidRPr="00850CC8" w:rsidRDefault="008B7250" w:rsidP="00850CC8">
      <w:pPr>
        <w:spacing w:before="120" w:after="120" w:line="276" w:lineRule="auto"/>
        <w:ind w:left="720"/>
        <w:jc w:val="both"/>
        <w:rPr>
          <w:rFonts w:ascii="Times New Roman" w:hAnsi="Times New Roman" w:cs="Times New Roman"/>
          <w:sz w:val="22"/>
          <w:szCs w:val="22"/>
        </w:rPr>
      </w:pPr>
      <w:r>
        <w:rPr>
          <w:rFonts w:ascii="Times New Roman" w:hAnsi="Times New Roman" w:cs="Times New Roman"/>
          <w:sz w:val="22"/>
          <w:szCs w:val="22"/>
        </w:rPr>
        <w:t>The Institutes are cited in Chapter Nine for Calvin’s use of the theatre image to describe the created world as the medium through which the knowledge of God becomes visible. The relevant passages are I.5.8, I.6.2, and I.14.20. Schreiner’s study, listed separately, provides the most thorough analysis of this motif across Calvin’s corpus.</w:t>
      </w:r>
    </w:p>
    <w:p w14:paraId="789DC6F4" w14:textId="77777777" w:rsidR="008B7250" w:rsidRPr="00850CC8" w:rsidRDefault="008B7250" w:rsidP="00850CC8">
      <w:pPr>
        <w:spacing w:before="480" w:after="240" w:line="276" w:lineRule="auto"/>
        <w:jc w:val="center"/>
        <w:rPr>
          <w:rFonts w:ascii="Times New Roman" w:hAnsi="Times New Roman" w:cs="Times New Roman"/>
          <w:sz w:val="22"/>
          <w:szCs w:val="22"/>
        </w:rPr>
      </w:pPr>
      <w:r>
        <w:rPr>
          <w:rFonts w:ascii="Times New Roman" w:hAnsi="Times New Roman" w:cs="Times New Roman"/>
          <w:b/>
          <w:bCs/>
          <w:i/>
          <w:iCs/>
          <w:sz w:val="22"/>
          <w:szCs w:val="22"/>
        </w:rPr>
        <w:t>Biblical Commentaries and New Testament Studies</w:t>
      </w:r>
    </w:p>
    <w:p w14:paraId="57E682DA" w14:textId="77777777" w:rsidR="008B7250" w:rsidRPr="00850CC8" w:rsidRDefault="008B7250" w:rsidP="00850CC8">
      <w:pPr>
        <w:spacing w:before="240" w:line="276" w:lineRule="auto"/>
        <w:jc w:val="both"/>
        <w:rPr>
          <w:rFonts w:ascii="Times New Roman" w:hAnsi="Times New Roman" w:cs="Times New Roman"/>
          <w:sz w:val="22"/>
          <w:szCs w:val="22"/>
        </w:rPr>
      </w:pPr>
      <w:r>
        <w:rPr>
          <w:rFonts w:ascii="Times New Roman" w:hAnsi="Times New Roman" w:cs="Times New Roman"/>
          <w:i/>
          <w:iCs/>
          <w:sz w:val="22"/>
          <w:szCs w:val="22"/>
        </w:rPr>
        <w:t>France, R. T. The Gospel of Matthew.</w:t>
      </w:r>
      <w:r>
        <w:rPr>
          <w:rFonts w:ascii="Times New Roman" w:hAnsi="Times New Roman" w:cs="Times New Roman"/>
          <w:sz w:val="22"/>
          <w:szCs w:val="22"/>
        </w:rPr>
        <w:t xml:space="preserve"> New International Commentary on the New Testament. Grand Rapids: Eerdmans, 2007.</w:t>
      </w:r>
    </w:p>
    <w:p w14:paraId="4136BF56" w14:textId="77777777" w:rsidR="008B7250" w:rsidRPr="00850CC8" w:rsidRDefault="008B7250" w:rsidP="00850CC8">
      <w:pPr>
        <w:spacing w:before="120" w:after="120" w:line="276" w:lineRule="auto"/>
        <w:ind w:left="720"/>
        <w:jc w:val="both"/>
        <w:rPr>
          <w:rFonts w:ascii="Times New Roman" w:hAnsi="Times New Roman" w:cs="Times New Roman"/>
          <w:sz w:val="22"/>
          <w:szCs w:val="22"/>
        </w:rPr>
      </w:pPr>
      <w:r>
        <w:rPr>
          <w:rFonts w:ascii="Times New Roman" w:hAnsi="Times New Roman" w:cs="Times New Roman"/>
          <w:sz w:val="22"/>
          <w:szCs w:val="22"/>
        </w:rPr>
        <w:t>Cited in Chapter Six for the discussion of Rahab’s inclusion in the Matthean genealogy (Matthew 1:5). France’s argument that the inclusion of Rahab, Tamar, Ruth, and the wife of Uriah is theologically deliberate, pointing toward the inclusive purposes of the God whose Messiah the genealogy traces, is directly relevant to the relational framework’s account of faith as the creator of new covenantal reality.</w:t>
      </w:r>
    </w:p>
    <w:p w14:paraId="6C570D6C" w14:textId="77777777" w:rsidR="008B7250" w:rsidRPr="00850CC8" w:rsidRDefault="008B7250" w:rsidP="00850CC8">
      <w:pPr>
        <w:spacing w:before="240" w:line="276" w:lineRule="auto"/>
        <w:jc w:val="both"/>
        <w:rPr>
          <w:rFonts w:ascii="Times New Roman" w:hAnsi="Times New Roman" w:cs="Times New Roman"/>
          <w:sz w:val="22"/>
          <w:szCs w:val="22"/>
        </w:rPr>
      </w:pPr>
      <w:r>
        <w:rPr>
          <w:rFonts w:ascii="Times New Roman" w:hAnsi="Times New Roman" w:cs="Times New Roman"/>
          <w:i/>
          <w:iCs/>
          <w:sz w:val="22"/>
          <w:szCs w:val="22"/>
        </w:rPr>
        <w:t>Furnish, Victor Paul. The Love Command in the New Testament.</w:t>
      </w:r>
      <w:r>
        <w:rPr>
          <w:rFonts w:ascii="Times New Roman" w:hAnsi="Times New Roman" w:cs="Times New Roman"/>
          <w:sz w:val="22"/>
          <w:szCs w:val="22"/>
        </w:rPr>
        <w:t xml:space="preserve"> Nashville: Abingdon, 1972.</w:t>
      </w:r>
    </w:p>
    <w:p w14:paraId="62AAD780" w14:textId="77777777" w:rsidR="008B7250" w:rsidRPr="00850CC8" w:rsidRDefault="008B7250" w:rsidP="00850CC8">
      <w:pPr>
        <w:spacing w:before="120" w:after="120" w:line="276" w:lineRule="auto"/>
        <w:ind w:left="720"/>
        <w:jc w:val="both"/>
        <w:rPr>
          <w:rFonts w:ascii="Times New Roman" w:hAnsi="Times New Roman" w:cs="Times New Roman"/>
          <w:sz w:val="22"/>
          <w:szCs w:val="22"/>
        </w:rPr>
      </w:pPr>
      <w:r>
        <w:rPr>
          <w:rFonts w:ascii="Times New Roman" w:hAnsi="Times New Roman" w:cs="Times New Roman"/>
          <w:sz w:val="22"/>
          <w:szCs w:val="22"/>
        </w:rPr>
        <w:t>One of the most careful treatments of the love commandment across the New Testament corpus, cited in Chapter Five. Furnish’s argument that Paul’s ethics is fundamentally shaped by the love commandment rather than by an independent ethic of the Spirit or of eschatology provides the exegetical foundation for Chapter Five’s claim that the two great commandments function as the grammar of the entire Pauline moral project.</w:t>
      </w:r>
    </w:p>
    <w:p w14:paraId="4F1A3FA9" w14:textId="77777777" w:rsidR="008B7250" w:rsidRPr="00850CC8" w:rsidRDefault="008B7250" w:rsidP="00850CC8">
      <w:pPr>
        <w:spacing w:before="240" w:line="276" w:lineRule="auto"/>
        <w:jc w:val="both"/>
        <w:rPr>
          <w:rFonts w:ascii="Times New Roman" w:hAnsi="Times New Roman" w:cs="Times New Roman"/>
          <w:sz w:val="22"/>
          <w:szCs w:val="22"/>
        </w:rPr>
      </w:pPr>
      <w:r>
        <w:rPr>
          <w:rFonts w:ascii="Times New Roman" w:hAnsi="Times New Roman" w:cs="Times New Roman"/>
          <w:i/>
          <w:iCs/>
          <w:sz w:val="22"/>
          <w:szCs w:val="22"/>
        </w:rPr>
        <w:lastRenderedPageBreak/>
        <w:t>Furnish, Victor Paul. Theology and Ethics in Paul.</w:t>
      </w:r>
      <w:r>
        <w:rPr>
          <w:rFonts w:ascii="Times New Roman" w:hAnsi="Times New Roman" w:cs="Times New Roman"/>
          <w:sz w:val="22"/>
          <w:szCs w:val="22"/>
        </w:rPr>
        <w:t xml:space="preserve"> Nashville: Abingdon, 1968.</w:t>
      </w:r>
    </w:p>
    <w:p w14:paraId="3D092165" w14:textId="77777777" w:rsidR="008B7250" w:rsidRPr="00850CC8" w:rsidRDefault="008B7250" w:rsidP="00850CC8">
      <w:pPr>
        <w:spacing w:before="120" w:after="120" w:line="276" w:lineRule="auto"/>
        <w:ind w:left="720"/>
        <w:jc w:val="both"/>
        <w:rPr>
          <w:rFonts w:ascii="Times New Roman" w:hAnsi="Times New Roman" w:cs="Times New Roman"/>
          <w:sz w:val="22"/>
          <w:szCs w:val="22"/>
        </w:rPr>
      </w:pPr>
      <w:r>
        <w:rPr>
          <w:rFonts w:ascii="Times New Roman" w:hAnsi="Times New Roman" w:cs="Times New Roman"/>
          <w:sz w:val="22"/>
          <w:szCs w:val="22"/>
        </w:rPr>
        <w:t>Cited in Chapter Five for the critical engagement with Bultmann’s indicative-imperative analysis. Furnish preserves Bultmann’s structural observation while questioning the existentialist framework in which it is embedded, producing a more historically grounded account of the pattern directly relevant to the present argument.</w:t>
      </w:r>
    </w:p>
    <w:p w14:paraId="2252E1DB" w14:textId="77777777" w:rsidR="008B7250" w:rsidRPr="00850CC8" w:rsidRDefault="008B7250" w:rsidP="00850CC8">
      <w:pPr>
        <w:spacing w:before="240" w:line="276" w:lineRule="auto"/>
        <w:jc w:val="both"/>
        <w:rPr>
          <w:rFonts w:ascii="Times New Roman" w:hAnsi="Times New Roman" w:cs="Times New Roman"/>
          <w:sz w:val="22"/>
          <w:szCs w:val="22"/>
        </w:rPr>
      </w:pPr>
      <w:r>
        <w:rPr>
          <w:rFonts w:ascii="Times New Roman" w:hAnsi="Times New Roman" w:cs="Times New Roman"/>
          <w:i/>
          <w:iCs/>
          <w:sz w:val="22"/>
          <w:szCs w:val="22"/>
        </w:rPr>
        <w:t>Gorman, Michael J. Cruciformity: Paul’s Narrative Spirituality of the Cross.</w:t>
      </w:r>
      <w:r>
        <w:rPr>
          <w:rFonts w:ascii="Times New Roman" w:hAnsi="Times New Roman" w:cs="Times New Roman"/>
          <w:sz w:val="22"/>
          <w:szCs w:val="22"/>
        </w:rPr>
        <w:t xml:space="preserve"> Grand Rapids: Eerdmans, 2001.</w:t>
      </w:r>
    </w:p>
    <w:p w14:paraId="60AF50F2" w14:textId="77777777" w:rsidR="008B7250" w:rsidRPr="00850CC8" w:rsidRDefault="008B7250" w:rsidP="00850CC8">
      <w:pPr>
        <w:spacing w:before="120" w:after="120" w:line="276" w:lineRule="auto"/>
        <w:ind w:left="720"/>
        <w:jc w:val="both"/>
        <w:rPr>
          <w:rFonts w:ascii="Times New Roman" w:hAnsi="Times New Roman" w:cs="Times New Roman"/>
          <w:sz w:val="22"/>
          <w:szCs w:val="22"/>
        </w:rPr>
      </w:pPr>
      <w:r>
        <w:rPr>
          <w:rFonts w:ascii="Times New Roman" w:hAnsi="Times New Roman" w:cs="Times New Roman"/>
          <w:sz w:val="22"/>
          <w:szCs w:val="22"/>
        </w:rPr>
        <w:t>Cited in Chapter Five as a recent treatment that extends and qualifies Furnish’s conclusions about the love command in Paul. Gorman’s account of cruciformity as the pattern of Pauline spirituality and ethics develops the connection between the shape of Jesus’s death and the shape of the Christian moral life in a way consistent with the indicative-imperative structure central to the present book.</w:t>
      </w:r>
    </w:p>
    <w:p w14:paraId="40C12B35" w14:textId="77777777" w:rsidR="008B7250" w:rsidRPr="00850CC8" w:rsidRDefault="008B7250" w:rsidP="00850CC8">
      <w:pPr>
        <w:spacing w:before="240" w:line="276" w:lineRule="auto"/>
        <w:jc w:val="both"/>
        <w:rPr>
          <w:rFonts w:ascii="Times New Roman" w:hAnsi="Times New Roman" w:cs="Times New Roman"/>
          <w:sz w:val="22"/>
          <w:szCs w:val="22"/>
        </w:rPr>
      </w:pPr>
      <w:r>
        <w:rPr>
          <w:rFonts w:ascii="Times New Roman" w:hAnsi="Times New Roman" w:cs="Times New Roman"/>
          <w:i/>
          <w:iCs/>
          <w:sz w:val="22"/>
          <w:szCs w:val="22"/>
        </w:rPr>
        <w:t>Hartley, John E. The Book of Job.</w:t>
      </w:r>
      <w:r>
        <w:rPr>
          <w:rFonts w:ascii="Times New Roman" w:hAnsi="Times New Roman" w:cs="Times New Roman"/>
          <w:sz w:val="22"/>
          <w:szCs w:val="22"/>
        </w:rPr>
        <w:t xml:space="preserve"> New International Commentary on the Old Testament. Grand Rapids: Eerdmans, 1988.</w:t>
      </w:r>
    </w:p>
    <w:p w14:paraId="4DA35B2F" w14:textId="77777777" w:rsidR="008B7250" w:rsidRPr="00850CC8" w:rsidRDefault="008B7250" w:rsidP="00850CC8">
      <w:pPr>
        <w:spacing w:before="120" w:after="120" w:line="276" w:lineRule="auto"/>
        <w:ind w:left="720"/>
        <w:jc w:val="both"/>
        <w:rPr>
          <w:rFonts w:ascii="Times New Roman" w:hAnsi="Times New Roman" w:cs="Times New Roman"/>
          <w:sz w:val="22"/>
          <w:szCs w:val="22"/>
        </w:rPr>
      </w:pPr>
      <w:r>
        <w:rPr>
          <w:rFonts w:ascii="Times New Roman" w:hAnsi="Times New Roman" w:cs="Times New Roman"/>
          <w:sz w:val="22"/>
          <w:szCs w:val="22"/>
        </w:rPr>
        <w:t>Cited in Chapter Nine for the exegetical treatment of the Job prologue, which provides the most sustained narrative illustration in the biblical canon of the claim that human faithfulness constitutes a cosmic demonstration. Hartley’s careful attention to the prologue’s framing of Job’s suffering within a divine-council context is directly relevant to the argument of the theatre chapter.</w:t>
      </w:r>
    </w:p>
    <w:p w14:paraId="0EEDE621" w14:textId="77777777" w:rsidR="008B7250" w:rsidRPr="00850CC8" w:rsidRDefault="008B7250" w:rsidP="00850CC8">
      <w:pPr>
        <w:spacing w:before="240" w:line="276" w:lineRule="auto"/>
        <w:jc w:val="both"/>
        <w:rPr>
          <w:rFonts w:ascii="Times New Roman" w:hAnsi="Times New Roman" w:cs="Times New Roman"/>
          <w:sz w:val="22"/>
          <w:szCs w:val="22"/>
        </w:rPr>
      </w:pPr>
      <w:r>
        <w:rPr>
          <w:rFonts w:ascii="Times New Roman" w:hAnsi="Times New Roman" w:cs="Times New Roman"/>
          <w:i/>
          <w:iCs/>
          <w:sz w:val="22"/>
          <w:szCs w:val="22"/>
        </w:rPr>
        <w:t>Hartley, John E. Leviticus.</w:t>
      </w:r>
      <w:r>
        <w:rPr>
          <w:rFonts w:ascii="Times New Roman" w:hAnsi="Times New Roman" w:cs="Times New Roman"/>
          <w:sz w:val="22"/>
          <w:szCs w:val="22"/>
        </w:rPr>
        <w:t xml:space="preserve"> Word Biblical Commentary. Dallas: Word Books, 1992.</w:t>
      </w:r>
    </w:p>
    <w:p w14:paraId="57A24179" w14:textId="77777777" w:rsidR="008B7250" w:rsidRPr="00850CC8" w:rsidRDefault="008B7250" w:rsidP="00850CC8">
      <w:pPr>
        <w:spacing w:before="120" w:after="120" w:line="276" w:lineRule="auto"/>
        <w:ind w:left="720"/>
        <w:jc w:val="both"/>
        <w:rPr>
          <w:rFonts w:ascii="Times New Roman" w:hAnsi="Times New Roman" w:cs="Times New Roman"/>
          <w:sz w:val="22"/>
          <w:szCs w:val="22"/>
        </w:rPr>
      </w:pPr>
      <w:r>
        <w:rPr>
          <w:rFonts w:ascii="Times New Roman" w:hAnsi="Times New Roman" w:cs="Times New Roman"/>
          <w:sz w:val="22"/>
          <w:szCs w:val="22"/>
        </w:rPr>
        <w:t>Cited in Chapter Seven for the analysis of Leviticus 18 as an account of specifically Canaanite practices. Hartley’s argument that the chapter’s framing situates its prohibitions within a specific historical and cultural context is important for the claim that the conquest narratives address actual moral violations rather than mere cultural difference.</w:t>
      </w:r>
    </w:p>
    <w:p w14:paraId="06B6B5B9" w14:textId="77777777" w:rsidR="008B7250" w:rsidRPr="00850CC8" w:rsidRDefault="008B7250" w:rsidP="00850CC8">
      <w:pPr>
        <w:spacing w:before="240" w:line="276" w:lineRule="auto"/>
        <w:jc w:val="both"/>
        <w:rPr>
          <w:rFonts w:ascii="Times New Roman" w:hAnsi="Times New Roman" w:cs="Times New Roman"/>
          <w:sz w:val="22"/>
          <w:szCs w:val="22"/>
        </w:rPr>
      </w:pPr>
      <w:r>
        <w:rPr>
          <w:rFonts w:ascii="Times New Roman" w:hAnsi="Times New Roman" w:cs="Times New Roman"/>
          <w:i/>
          <w:iCs/>
          <w:sz w:val="22"/>
          <w:szCs w:val="22"/>
        </w:rPr>
        <w:t>Hawk, L. Daniel. Joshua.</w:t>
      </w:r>
      <w:r>
        <w:rPr>
          <w:rFonts w:ascii="Times New Roman" w:hAnsi="Times New Roman" w:cs="Times New Roman"/>
          <w:sz w:val="22"/>
          <w:szCs w:val="22"/>
        </w:rPr>
        <w:t xml:space="preserve"> Berit Olam. Collegeville: Liturgical Press, 2000.</w:t>
      </w:r>
    </w:p>
    <w:p w14:paraId="2A6629DD" w14:textId="77777777" w:rsidR="008B7250" w:rsidRPr="00850CC8" w:rsidRDefault="008B7250" w:rsidP="00850CC8">
      <w:pPr>
        <w:spacing w:before="120" w:after="120" w:line="276" w:lineRule="auto"/>
        <w:ind w:left="720"/>
        <w:jc w:val="both"/>
        <w:rPr>
          <w:rFonts w:ascii="Times New Roman" w:hAnsi="Times New Roman" w:cs="Times New Roman"/>
          <w:sz w:val="22"/>
          <w:szCs w:val="22"/>
        </w:rPr>
      </w:pPr>
      <w:r>
        <w:rPr>
          <w:rFonts w:ascii="Times New Roman" w:hAnsi="Times New Roman" w:cs="Times New Roman"/>
          <w:sz w:val="22"/>
          <w:szCs w:val="22"/>
        </w:rPr>
        <w:t>Cited in Chapter Six for the argument that Rahab’s speech in Joshua 2:9–13 is the most theologically articulate statement in the entire book. Hawk’s reading of the Rahab narrative within the structure of the conquest account supports the claim that the opening display of mercy before the first blow is struck is a deliberate theological statement about the character of the God whose purposes are being worked out.</w:t>
      </w:r>
    </w:p>
    <w:p w14:paraId="2C60CAD8" w14:textId="77777777" w:rsidR="008B7250" w:rsidRPr="00850CC8" w:rsidRDefault="008B7250" w:rsidP="00850CC8">
      <w:pPr>
        <w:spacing w:before="240" w:line="276" w:lineRule="auto"/>
        <w:jc w:val="both"/>
        <w:rPr>
          <w:rFonts w:ascii="Times New Roman" w:hAnsi="Times New Roman" w:cs="Times New Roman"/>
          <w:sz w:val="22"/>
          <w:szCs w:val="22"/>
        </w:rPr>
      </w:pPr>
      <w:r>
        <w:rPr>
          <w:rFonts w:ascii="Times New Roman" w:hAnsi="Times New Roman" w:cs="Times New Roman"/>
          <w:i/>
          <w:iCs/>
          <w:sz w:val="22"/>
          <w:szCs w:val="22"/>
        </w:rPr>
        <w:t>Hess, Richard S. Joshua: An Introduction and Commentary.</w:t>
      </w:r>
      <w:r>
        <w:rPr>
          <w:rFonts w:ascii="Times New Roman" w:hAnsi="Times New Roman" w:cs="Times New Roman"/>
          <w:sz w:val="22"/>
          <w:szCs w:val="22"/>
        </w:rPr>
        <w:t xml:space="preserve"> Tyndale Old Testament Commentaries. Downers Grove: IVP, 1996.</w:t>
      </w:r>
    </w:p>
    <w:p w14:paraId="185285DB" w14:textId="77777777" w:rsidR="008B7250" w:rsidRPr="00850CC8" w:rsidRDefault="008B7250" w:rsidP="00850CC8">
      <w:pPr>
        <w:spacing w:before="120" w:after="120" w:line="276" w:lineRule="auto"/>
        <w:ind w:left="720"/>
        <w:jc w:val="both"/>
        <w:rPr>
          <w:rFonts w:ascii="Times New Roman" w:hAnsi="Times New Roman" w:cs="Times New Roman"/>
          <w:sz w:val="22"/>
          <w:szCs w:val="22"/>
        </w:rPr>
      </w:pPr>
      <w:r>
        <w:rPr>
          <w:rFonts w:ascii="Times New Roman" w:hAnsi="Times New Roman" w:cs="Times New Roman"/>
          <w:sz w:val="22"/>
          <w:szCs w:val="22"/>
        </w:rPr>
        <w:t>Cited in Chapter Six for the treatment of Rahab’s confession and its parallels with Deuteronomic theology. Hess provides useful background for understanding the theological significance of Rahab’s movement from outside to inside the covenant community through an act of faith.</w:t>
      </w:r>
    </w:p>
    <w:p w14:paraId="30E5DDAE" w14:textId="77777777" w:rsidR="008B7250" w:rsidRPr="00850CC8" w:rsidRDefault="008B7250" w:rsidP="00850CC8">
      <w:pPr>
        <w:spacing w:before="240" w:line="276" w:lineRule="auto"/>
        <w:jc w:val="both"/>
        <w:rPr>
          <w:rFonts w:ascii="Times New Roman" w:hAnsi="Times New Roman" w:cs="Times New Roman"/>
          <w:sz w:val="22"/>
          <w:szCs w:val="22"/>
        </w:rPr>
      </w:pPr>
      <w:r>
        <w:rPr>
          <w:rFonts w:ascii="Times New Roman" w:hAnsi="Times New Roman" w:cs="Times New Roman"/>
          <w:i/>
          <w:iCs/>
          <w:sz w:val="22"/>
          <w:szCs w:val="22"/>
        </w:rPr>
        <w:t>Marshall, Christopher D. Beyond Retribution: A New Testament Vision for Justice, Crime, and Punishment.</w:t>
      </w:r>
      <w:r>
        <w:rPr>
          <w:rFonts w:ascii="Times New Roman" w:hAnsi="Times New Roman" w:cs="Times New Roman"/>
          <w:sz w:val="22"/>
          <w:szCs w:val="22"/>
        </w:rPr>
        <w:t xml:space="preserve"> Grand Rapids: Eerdmans, 2001.</w:t>
      </w:r>
    </w:p>
    <w:p w14:paraId="7D761BBF" w14:textId="77777777" w:rsidR="008B7250" w:rsidRPr="00850CC8" w:rsidRDefault="008B7250" w:rsidP="00850CC8">
      <w:pPr>
        <w:spacing w:before="120" w:after="120" w:line="276" w:lineRule="auto"/>
        <w:ind w:left="720"/>
        <w:jc w:val="both"/>
        <w:rPr>
          <w:rFonts w:ascii="Times New Roman" w:hAnsi="Times New Roman" w:cs="Times New Roman"/>
          <w:sz w:val="22"/>
          <w:szCs w:val="22"/>
        </w:rPr>
      </w:pPr>
      <w:r>
        <w:rPr>
          <w:rFonts w:ascii="Times New Roman" w:hAnsi="Times New Roman" w:cs="Times New Roman"/>
          <w:sz w:val="22"/>
          <w:szCs w:val="22"/>
        </w:rPr>
        <w:lastRenderedPageBreak/>
        <w:t>The most thorough treatment of justice in the New Testament available, cited in Chapters Eight and Nine. Marshall’s central argument, that the New Testament holds retributive and restorative dimensions of justice within a single theological vision rather than choosing between them, is the key scholarly support for Chapter Eight’s constructive proposal that both dimensions are expressions of the same reflexive love.</w:t>
      </w:r>
    </w:p>
    <w:p w14:paraId="37136FCA" w14:textId="77777777" w:rsidR="008B7250" w:rsidRPr="00850CC8" w:rsidRDefault="008B7250" w:rsidP="00850CC8">
      <w:pPr>
        <w:spacing w:before="240" w:line="276" w:lineRule="auto"/>
        <w:jc w:val="both"/>
        <w:rPr>
          <w:rFonts w:ascii="Times New Roman" w:hAnsi="Times New Roman" w:cs="Times New Roman"/>
          <w:sz w:val="22"/>
          <w:szCs w:val="22"/>
        </w:rPr>
      </w:pPr>
      <w:r>
        <w:rPr>
          <w:rFonts w:ascii="Times New Roman" w:hAnsi="Times New Roman" w:cs="Times New Roman"/>
          <w:i/>
          <w:iCs/>
          <w:sz w:val="22"/>
          <w:szCs w:val="22"/>
        </w:rPr>
        <w:t>Marshall, I. Howard. The Epistles of John.</w:t>
      </w:r>
      <w:r>
        <w:rPr>
          <w:rFonts w:ascii="Times New Roman" w:hAnsi="Times New Roman" w:cs="Times New Roman"/>
          <w:sz w:val="22"/>
          <w:szCs w:val="22"/>
        </w:rPr>
        <w:t xml:space="preserve"> New International Commentary on the New Testament. Grand Rapids: Eerdmans, 1978.</w:t>
      </w:r>
    </w:p>
    <w:p w14:paraId="7FB46688" w14:textId="77777777" w:rsidR="008B7250" w:rsidRPr="00850CC8" w:rsidRDefault="008B7250" w:rsidP="00850CC8">
      <w:pPr>
        <w:spacing w:before="120" w:after="120" w:line="276" w:lineRule="auto"/>
        <w:ind w:left="720"/>
        <w:jc w:val="both"/>
        <w:rPr>
          <w:rFonts w:ascii="Times New Roman" w:hAnsi="Times New Roman" w:cs="Times New Roman"/>
          <w:sz w:val="22"/>
          <w:szCs w:val="22"/>
        </w:rPr>
      </w:pPr>
      <w:r>
        <w:rPr>
          <w:rFonts w:ascii="Times New Roman" w:hAnsi="Times New Roman" w:cs="Times New Roman"/>
          <w:sz w:val="22"/>
          <w:szCs w:val="22"/>
        </w:rPr>
        <w:t>Cited in Chapter Five for the exegetical treatment of 1 John 4:19–21. Marshall’s argument that the love of God and love of neighbor are a single reality that cannot be divided without being destroyed provides the exegetical foundation for the indicative-imperative structure central to the present book’s argument about the ground of the moral life.</w:t>
      </w:r>
    </w:p>
    <w:p w14:paraId="46CE5A8E" w14:textId="77777777" w:rsidR="008B7250" w:rsidRPr="00850CC8" w:rsidRDefault="008B7250" w:rsidP="00850CC8">
      <w:pPr>
        <w:spacing w:before="240" w:line="276" w:lineRule="auto"/>
        <w:jc w:val="both"/>
        <w:rPr>
          <w:rFonts w:ascii="Times New Roman" w:hAnsi="Times New Roman" w:cs="Times New Roman"/>
          <w:sz w:val="22"/>
          <w:szCs w:val="22"/>
        </w:rPr>
      </w:pPr>
      <w:r>
        <w:rPr>
          <w:rFonts w:ascii="Times New Roman" w:hAnsi="Times New Roman" w:cs="Times New Roman"/>
          <w:i/>
          <w:iCs/>
          <w:sz w:val="22"/>
          <w:szCs w:val="22"/>
        </w:rPr>
        <w:t>Moberly, R. W. L. Old Testament Theology: Reading the Hebrew Bible as Christian Scripture.</w:t>
      </w:r>
      <w:r>
        <w:rPr>
          <w:rFonts w:ascii="Times New Roman" w:hAnsi="Times New Roman" w:cs="Times New Roman"/>
          <w:sz w:val="22"/>
          <w:szCs w:val="22"/>
        </w:rPr>
        <w:t xml:space="preserve"> Grand Rapids: Baker Academic, 2013.</w:t>
      </w:r>
    </w:p>
    <w:p w14:paraId="7574C9D5" w14:textId="77777777" w:rsidR="008B7250" w:rsidRPr="00850CC8" w:rsidRDefault="008B7250" w:rsidP="00850CC8">
      <w:pPr>
        <w:spacing w:before="120" w:after="120" w:line="276" w:lineRule="auto"/>
        <w:ind w:left="720"/>
        <w:jc w:val="both"/>
        <w:rPr>
          <w:rFonts w:ascii="Times New Roman" w:hAnsi="Times New Roman" w:cs="Times New Roman"/>
          <w:sz w:val="22"/>
          <w:szCs w:val="22"/>
        </w:rPr>
      </w:pPr>
      <w:r>
        <w:rPr>
          <w:rFonts w:ascii="Times New Roman" w:hAnsi="Times New Roman" w:cs="Times New Roman"/>
          <w:sz w:val="22"/>
          <w:szCs w:val="22"/>
        </w:rPr>
        <w:t>Cited in Chapter Seven for the theological analysis of the book of Jonah and its account of the divine character. Moberly’s argument that Jonah’s complaint in 4:2 is the most theologically articulate statement in the book, precisely because it accurately names the divine inclination toward mercy that has governed the narrative throughout, is directly relevant to the claim that patience rather than judgment is the grain of the divine character.</w:t>
      </w:r>
    </w:p>
    <w:p w14:paraId="1C6FDED3" w14:textId="77777777" w:rsidR="008B7250" w:rsidRPr="00850CC8" w:rsidRDefault="008B7250" w:rsidP="00850CC8">
      <w:pPr>
        <w:spacing w:before="240" w:line="276" w:lineRule="auto"/>
        <w:jc w:val="both"/>
        <w:rPr>
          <w:rFonts w:ascii="Times New Roman" w:hAnsi="Times New Roman" w:cs="Times New Roman"/>
          <w:sz w:val="22"/>
          <w:szCs w:val="22"/>
        </w:rPr>
      </w:pPr>
      <w:r>
        <w:rPr>
          <w:rFonts w:ascii="Times New Roman" w:hAnsi="Times New Roman" w:cs="Times New Roman"/>
          <w:i/>
          <w:iCs/>
          <w:sz w:val="22"/>
          <w:szCs w:val="22"/>
        </w:rPr>
        <w:t>Moberly, R. W. L. The Theology of the Book of Genesis.</w:t>
      </w:r>
      <w:r>
        <w:rPr>
          <w:rFonts w:ascii="Times New Roman" w:hAnsi="Times New Roman" w:cs="Times New Roman"/>
          <w:sz w:val="22"/>
          <w:szCs w:val="22"/>
        </w:rPr>
        <w:t xml:space="preserve"> Cambridge: Cambridge University Press, 2009.</w:t>
      </w:r>
    </w:p>
    <w:p w14:paraId="0AC4149B" w14:textId="77777777" w:rsidR="008B7250" w:rsidRPr="00850CC8" w:rsidRDefault="008B7250" w:rsidP="00850CC8">
      <w:pPr>
        <w:spacing w:before="120" w:after="120" w:line="276" w:lineRule="auto"/>
        <w:ind w:left="720"/>
        <w:jc w:val="both"/>
        <w:rPr>
          <w:rFonts w:ascii="Times New Roman" w:hAnsi="Times New Roman" w:cs="Times New Roman"/>
          <w:sz w:val="22"/>
          <w:szCs w:val="22"/>
        </w:rPr>
      </w:pPr>
      <w:r>
        <w:rPr>
          <w:rFonts w:ascii="Times New Roman" w:hAnsi="Times New Roman" w:cs="Times New Roman"/>
          <w:sz w:val="22"/>
          <w:szCs w:val="22"/>
        </w:rPr>
        <w:t>Cited in Chapter Six for the analysis of the Genesis 18 narrative. Moberly’s reading situates Abraham’s disclosure of divine intention within the broader context of prophetic vocation, noting that Amos 3:7 provides the theological framework within which the scene makes sense. His account of Abraham’s intercession as participation in the divine deliberative process is one of the most illuminating treatments of the passage.</w:t>
      </w:r>
    </w:p>
    <w:p w14:paraId="1F572A85" w14:textId="77777777" w:rsidR="008B7250" w:rsidRPr="00850CC8" w:rsidRDefault="008B7250" w:rsidP="00850CC8">
      <w:pPr>
        <w:spacing w:before="240" w:line="276" w:lineRule="auto"/>
        <w:jc w:val="both"/>
        <w:rPr>
          <w:rFonts w:ascii="Times New Roman" w:hAnsi="Times New Roman" w:cs="Times New Roman"/>
          <w:sz w:val="22"/>
          <w:szCs w:val="22"/>
        </w:rPr>
      </w:pPr>
      <w:r>
        <w:rPr>
          <w:rFonts w:ascii="Times New Roman" w:hAnsi="Times New Roman" w:cs="Times New Roman"/>
          <w:i/>
          <w:iCs/>
          <w:sz w:val="22"/>
          <w:szCs w:val="22"/>
        </w:rPr>
        <w:t>Moo, Douglas J. The Epistle to the Romans.</w:t>
      </w:r>
      <w:r>
        <w:rPr>
          <w:rFonts w:ascii="Times New Roman" w:hAnsi="Times New Roman" w:cs="Times New Roman"/>
          <w:sz w:val="22"/>
          <w:szCs w:val="22"/>
        </w:rPr>
        <w:t xml:space="preserve"> New International Commentary on the New Testament. Grand Rapids: Eerdmans, 1996.</w:t>
      </w:r>
    </w:p>
    <w:p w14:paraId="6E06EA3C" w14:textId="77777777" w:rsidR="008B7250" w:rsidRPr="00850CC8" w:rsidRDefault="008B7250" w:rsidP="00850CC8">
      <w:pPr>
        <w:spacing w:before="120" w:after="120" w:line="276" w:lineRule="auto"/>
        <w:ind w:left="720"/>
        <w:jc w:val="both"/>
        <w:rPr>
          <w:rFonts w:ascii="Times New Roman" w:hAnsi="Times New Roman" w:cs="Times New Roman"/>
          <w:sz w:val="22"/>
          <w:szCs w:val="22"/>
        </w:rPr>
      </w:pPr>
      <w:r>
        <w:rPr>
          <w:rFonts w:ascii="Times New Roman" w:hAnsi="Times New Roman" w:cs="Times New Roman"/>
          <w:sz w:val="22"/>
          <w:szCs w:val="22"/>
        </w:rPr>
        <w:t>The standard evangelical commentary on Romans, cited in Chapters Eight and Nine for the treatment of Romans 3:25–26, Romans 8:19–21, and Romans 12:1. Moo’s careful attention to the relationship between Paul’s indicative and imperative consistently supports the structural argument of the present book.</w:t>
      </w:r>
    </w:p>
    <w:p w14:paraId="1A54E94C" w14:textId="77777777" w:rsidR="008B7250" w:rsidRPr="00850CC8" w:rsidRDefault="008B7250" w:rsidP="00850CC8">
      <w:pPr>
        <w:spacing w:before="240" w:line="276" w:lineRule="auto"/>
        <w:jc w:val="both"/>
        <w:rPr>
          <w:rFonts w:ascii="Times New Roman" w:hAnsi="Times New Roman" w:cs="Times New Roman"/>
          <w:sz w:val="22"/>
          <w:szCs w:val="22"/>
        </w:rPr>
      </w:pPr>
      <w:r>
        <w:rPr>
          <w:rFonts w:ascii="Times New Roman" w:hAnsi="Times New Roman" w:cs="Times New Roman"/>
          <w:i/>
          <w:iCs/>
          <w:sz w:val="22"/>
          <w:szCs w:val="22"/>
        </w:rPr>
        <w:t>Nolland, John. Luke 9:21–18:34.</w:t>
      </w:r>
      <w:r>
        <w:rPr>
          <w:rFonts w:ascii="Times New Roman" w:hAnsi="Times New Roman" w:cs="Times New Roman"/>
          <w:sz w:val="22"/>
          <w:szCs w:val="22"/>
        </w:rPr>
        <w:t xml:space="preserve"> Word Biblical Commentary. Dallas: Word Books, 1993.</w:t>
      </w:r>
    </w:p>
    <w:p w14:paraId="4686D8DC" w14:textId="77777777" w:rsidR="008B7250" w:rsidRPr="00850CC8" w:rsidRDefault="008B7250" w:rsidP="00850CC8">
      <w:pPr>
        <w:spacing w:before="120" w:after="120" w:line="276" w:lineRule="auto"/>
        <w:ind w:left="720"/>
        <w:jc w:val="both"/>
        <w:rPr>
          <w:rFonts w:ascii="Times New Roman" w:hAnsi="Times New Roman" w:cs="Times New Roman"/>
          <w:sz w:val="22"/>
          <w:szCs w:val="22"/>
        </w:rPr>
      </w:pPr>
      <w:r>
        <w:rPr>
          <w:rFonts w:ascii="Times New Roman" w:hAnsi="Times New Roman" w:cs="Times New Roman"/>
          <w:sz w:val="22"/>
          <w:szCs w:val="22"/>
        </w:rPr>
        <w:t>Cited in Chapter Five for the exegetical treatment of the Good Samaritan parable in its response to the lawyer’s question. Nolland’s argument that the parable reframes the question from “who qualifies as my neighbor?” to “how do I act as a neighbor?” is one of the most important observations for the present book’s argument about the reflexive structure of the love commandment.</w:t>
      </w:r>
    </w:p>
    <w:p w14:paraId="3E3A3801" w14:textId="77777777" w:rsidR="008B7250" w:rsidRPr="00850CC8" w:rsidRDefault="008B7250" w:rsidP="00850CC8">
      <w:pPr>
        <w:spacing w:before="240" w:line="276" w:lineRule="auto"/>
        <w:jc w:val="both"/>
        <w:rPr>
          <w:rFonts w:ascii="Times New Roman" w:hAnsi="Times New Roman" w:cs="Times New Roman"/>
          <w:sz w:val="22"/>
          <w:szCs w:val="22"/>
        </w:rPr>
      </w:pPr>
      <w:r>
        <w:rPr>
          <w:rFonts w:ascii="Times New Roman" w:hAnsi="Times New Roman" w:cs="Times New Roman"/>
          <w:i/>
          <w:iCs/>
          <w:sz w:val="22"/>
          <w:szCs w:val="22"/>
        </w:rPr>
        <w:lastRenderedPageBreak/>
        <w:t>O’Brien, Peter T. The Letter to the Ephesians.</w:t>
      </w:r>
      <w:r>
        <w:rPr>
          <w:rFonts w:ascii="Times New Roman" w:hAnsi="Times New Roman" w:cs="Times New Roman"/>
          <w:sz w:val="22"/>
          <w:szCs w:val="22"/>
        </w:rPr>
        <w:t xml:space="preserve"> Pillar New Testament Commentary. Grand Rapids: Eerdmans, 1999.</w:t>
      </w:r>
    </w:p>
    <w:p w14:paraId="5A834E29" w14:textId="77777777" w:rsidR="008B7250" w:rsidRPr="00850CC8" w:rsidRDefault="008B7250" w:rsidP="00850CC8">
      <w:pPr>
        <w:spacing w:before="120" w:after="120" w:line="276" w:lineRule="auto"/>
        <w:ind w:left="720"/>
        <w:jc w:val="both"/>
        <w:rPr>
          <w:rFonts w:ascii="Times New Roman" w:hAnsi="Times New Roman" w:cs="Times New Roman"/>
          <w:sz w:val="22"/>
          <w:szCs w:val="22"/>
        </w:rPr>
      </w:pPr>
      <w:r>
        <w:rPr>
          <w:rFonts w:ascii="Times New Roman" w:hAnsi="Times New Roman" w:cs="Times New Roman"/>
          <w:sz w:val="22"/>
          <w:szCs w:val="22"/>
        </w:rPr>
        <w:t>Cited in Chapter Nine for the exegesis of Ephesians 3:10 and the identity of the rulers and authorities in the heavenly places. O’Brien’s argument that the church’s display of divine wisdom before this audience is consistent with the cosmic scope of redemption in Paul supports the claim that the moral life of the community of the redeemed constitutes a demonstration directed toward both human and supernatural audiences.</w:t>
      </w:r>
    </w:p>
    <w:p w14:paraId="7A5A65E4" w14:textId="77777777" w:rsidR="008B7250" w:rsidRPr="00850CC8" w:rsidRDefault="008B7250" w:rsidP="00850CC8">
      <w:pPr>
        <w:spacing w:before="240" w:line="276" w:lineRule="auto"/>
        <w:jc w:val="both"/>
        <w:rPr>
          <w:rFonts w:ascii="Times New Roman" w:hAnsi="Times New Roman" w:cs="Times New Roman"/>
          <w:sz w:val="22"/>
          <w:szCs w:val="22"/>
        </w:rPr>
      </w:pPr>
      <w:r>
        <w:rPr>
          <w:rFonts w:ascii="Times New Roman" w:hAnsi="Times New Roman" w:cs="Times New Roman"/>
          <w:i/>
          <w:iCs/>
          <w:sz w:val="22"/>
          <w:szCs w:val="22"/>
        </w:rPr>
        <w:t>Wenham, Gordon J. Genesis 1–15.</w:t>
      </w:r>
      <w:r>
        <w:rPr>
          <w:rFonts w:ascii="Times New Roman" w:hAnsi="Times New Roman" w:cs="Times New Roman"/>
          <w:sz w:val="22"/>
          <w:szCs w:val="22"/>
        </w:rPr>
        <w:t xml:space="preserve"> Word Biblical Commentary. Waco: Word Books, 1987.</w:t>
      </w:r>
    </w:p>
    <w:p w14:paraId="7903C45A" w14:textId="77777777" w:rsidR="008B7250" w:rsidRPr="00850CC8" w:rsidRDefault="008B7250" w:rsidP="00850CC8">
      <w:pPr>
        <w:spacing w:before="120" w:after="120" w:line="276" w:lineRule="auto"/>
        <w:ind w:left="720"/>
        <w:jc w:val="both"/>
        <w:rPr>
          <w:rFonts w:ascii="Times New Roman" w:hAnsi="Times New Roman" w:cs="Times New Roman"/>
          <w:sz w:val="22"/>
          <w:szCs w:val="22"/>
        </w:rPr>
      </w:pPr>
      <w:r>
        <w:rPr>
          <w:rFonts w:ascii="Times New Roman" w:hAnsi="Times New Roman" w:cs="Times New Roman"/>
          <w:sz w:val="22"/>
          <w:szCs w:val="22"/>
        </w:rPr>
        <w:t>Cited in Chapter Three for the treatment of the “us” in Genesis 1:26 and its relationship to the divine council tradition. Wenham surveys the main interpretive options with characteristic fairness. His commentary is one of the standard evangelical treatments of the early chapters of Genesis.</w:t>
      </w:r>
    </w:p>
    <w:p w14:paraId="20909986" w14:textId="77777777" w:rsidR="008B7250" w:rsidRPr="00850CC8" w:rsidRDefault="008B7250" w:rsidP="00850CC8">
      <w:pPr>
        <w:spacing w:before="240" w:line="276" w:lineRule="auto"/>
        <w:jc w:val="both"/>
        <w:rPr>
          <w:rFonts w:ascii="Times New Roman" w:hAnsi="Times New Roman" w:cs="Times New Roman"/>
          <w:sz w:val="22"/>
          <w:szCs w:val="22"/>
        </w:rPr>
      </w:pPr>
      <w:r>
        <w:rPr>
          <w:rFonts w:ascii="Times New Roman" w:hAnsi="Times New Roman" w:cs="Times New Roman"/>
          <w:i/>
          <w:iCs/>
          <w:sz w:val="22"/>
          <w:szCs w:val="22"/>
        </w:rPr>
        <w:t>Wenham, Gordon J. Genesis 16–50.</w:t>
      </w:r>
      <w:r>
        <w:rPr>
          <w:rFonts w:ascii="Times New Roman" w:hAnsi="Times New Roman" w:cs="Times New Roman"/>
          <w:sz w:val="22"/>
          <w:szCs w:val="22"/>
        </w:rPr>
        <w:t xml:space="preserve"> Word Biblical Commentary. Dallas: Word Books, 1994.</w:t>
      </w:r>
    </w:p>
    <w:p w14:paraId="665E61A6" w14:textId="77777777" w:rsidR="008B7250" w:rsidRPr="00850CC8" w:rsidRDefault="008B7250" w:rsidP="00850CC8">
      <w:pPr>
        <w:spacing w:before="120" w:after="120" w:line="276" w:lineRule="auto"/>
        <w:ind w:left="720"/>
        <w:jc w:val="both"/>
        <w:rPr>
          <w:rFonts w:ascii="Times New Roman" w:hAnsi="Times New Roman" w:cs="Times New Roman"/>
          <w:sz w:val="22"/>
          <w:szCs w:val="22"/>
        </w:rPr>
      </w:pPr>
      <w:r>
        <w:rPr>
          <w:rFonts w:ascii="Times New Roman" w:hAnsi="Times New Roman" w:cs="Times New Roman"/>
          <w:sz w:val="22"/>
          <w:szCs w:val="22"/>
        </w:rPr>
        <w:t>Cited in Chapter Six for the treatment of Abraham’s intercession in Genesis 18. Wenham’s observation that “Shall not the Judge of all the earth do what is just?” is an appeal to divine identity rather than a challenge to divine authority is directly relevant to the present argument about the reflexive character of Abraham’s approach to God.</w:t>
      </w:r>
    </w:p>
    <w:p w14:paraId="4DD51171" w14:textId="77777777" w:rsidR="008B7250" w:rsidRPr="00850CC8" w:rsidRDefault="008B7250" w:rsidP="00850CC8">
      <w:pPr>
        <w:spacing w:before="240" w:line="276" w:lineRule="auto"/>
        <w:jc w:val="both"/>
        <w:rPr>
          <w:rFonts w:ascii="Times New Roman" w:hAnsi="Times New Roman" w:cs="Times New Roman"/>
          <w:sz w:val="22"/>
          <w:szCs w:val="22"/>
        </w:rPr>
      </w:pPr>
      <w:r>
        <w:rPr>
          <w:rFonts w:ascii="Times New Roman" w:hAnsi="Times New Roman" w:cs="Times New Roman"/>
          <w:i/>
          <w:iCs/>
          <w:sz w:val="22"/>
          <w:szCs w:val="22"/>
        </w:rPr>
        <w:t>Westermann, Claus. Genesis 12–36: A Commentary.</w:t>
      </w:r>
      <w:r>
        <w:rPr>
          <w:rFonts w:ascii="Times New Roman" w:hAnsi="Times New Roman" w:cs="Times New Roman"/>
          <w:sz w:val="22"/>
          <w:szCs w:val="22"/>
        </w:rPr>
        <w:t xml:space="preserve"> Translated by John J. Scullion. Minneapolis: Augsburg, 1985.</w:t>
      </w:r>
    </w:p>
    <w:p w14:paraId="020B0AB9" w14:textId="77777777" w:rsidR="008B7250" w:rsidRPr="00850CC8" w:rsidRDefault="008B7250" w:rsidP="00850CC8">
      <w:pPr>
        <w:spacing w:before="120" w:after="120" w:line="276" w:lineRule="auto"/>
        <w:ind w:left="720"/>
        <w:jc w:val="both"/>
        <w:rPr>
          <w:rFonts w:ascii="Times New Roman" w:hAnsi="Times New Roman" w:cs="Times New Roman"/>
          <w:sz w:val="22"/>
          <w:szCs w:val="22"/>
        </w:rPr>
      </w:pPr>
      <w:r>
        <w:rPr>
          <w:rFonts w:ascii="Times New Roman" w:hAnsi="Times New Roman" w:cs="Times New Roman"/>
          <w:sz w:val="22"/>
          <w:szCs w:val="22"/>
        </w:rPr>
        <w:t>Cited in Chapter Six for the complementary reading of Abraham’s intercessory role in Genesis 18. Westermann’s form-critical analysis provides useful background for understanding the structural features of the narrative, even where the theological conclusions of the present book move in a different direction.</w:t>
      </w:r>
    </w:p>
    <w:p w14:paraId="7CA7198B" w14:textId="77777777" w:rsidR="008B7250" w:rsidRPr="00850CC8" w:rsidRDefault="008B7250" w:rsidP="00850CC8">
      <w:pPr>
        <w:spacing w:before="240" w:line="276" w:lineRule="auto"/>
        <w:jc w:val="both"/>
        <w:rPr>
          <w:rFonts w:ascii="Times New Roman" w:hAnsi="Times New Roman" w:cs="Times New Roman"/>
          <w:sz w:val="22"/>
          <w:szCs w:val="22"/>
        </w:rPr>
      </w:pPr>
      <w:r>
        <w:rPr>
          <w:rFonts w:ascii="Times New Roman" w:hAnsi="Times New Roman" w:cs="Times New Roman"/>
          <w:i/>
          <w:iCs/>
          <w:sz w:val="22"/>
          <w:szCs w:val="22"/>
        </w:rPr>
        <w:t>Wright, N. T. “Imagining the Kingdom: Mission and Theology in Early Christianity.” Scottish Journal of Theology</w:t>
      </w:r>
      <w:r>
        <w:rPr>
          <w:rFonts w:ascii="Times New Roman" w:hAnsi="Times New Roman" w:cs="Times New Roman"/>
          <w:sz w:val="22"/>
          <w:szCs w:val="22"/>
        </w:rPr>
        <w:t xml:space="preserve"> 65, no. 4 (2012): 379–401.</w:t>
      </w:r>
    </w:p>
    <w:p w14:paraId="318BEE7F" w14:textId="77777777" w:rsidR="008B7250" w:rsidRPr="00850CC8" w:rsidRDefault="008B7250" w:rsidP="00850CC8">
      <w:pPr>
        <w:spacing w:before="120" w:after="120" w:line="276" w:lineRule="auto"/>
        <w:ind w:left="720"/>
        <w:jc w:val="both"/>
        <w:rPr>
          <w:rFonts w:ascii="Times New Roman" w:hAnsi="Times New Roman" w:cs="Times New Roman"/>
          <w:sz w:val="22"/>
          <w:szCs w:val="22"/>
        </w:rPr>
      </w:pPr>
      <w:r>
        <w:rPr>
          <w:rFonts w:ascii="Times New Roman" w:hAnsi="Times New Roman" w:cs="Times New Roman"/>
          <w:sz w:val="22"/>
          <w:szCs w:val="22"/>
        </w:rPr>
        <w:t>Cited in Chapter Three for the development of the temple-image connection in early Christianity. Wright’s argument that the human being as image of God is the living representative installed in the cosmic temple develops the royal-functional interpretation of the imago Dei in a direction that supports the present book’s claim that the image is both functional and relational.</w:t>
      </w:r>
    </w:p>
    <w:p w14:paraId="6049586C" w14:textId="77777777" w:rsidR="008B7250" w:rsidRPr="00850CC8" w:rsidRDefault="008B7250" w:rsidP="00850CC8">
      <w:pPr>
        <w:spacing w:before="240" w:line="276" w:lineRule="auto"/>
        <w:jc w:val="both"/>
        <w:rPr>
          <w:rFonts w:ascii="Times New Roman" w:hAnsi="Times New Roman" w:cs="Times New Roman"/>
          <w:sz w:val="22"/>
          <w:szCs w:val="22"/>
        </w:rPr>
      </w:pPr>
      <w:r>
        <w:rPr>
          <w:rFonts w:ascii="Times New Roman" w:hAnsi="Times New Roman" w:cs="Times New Roman"/>
          <w:i/>
          <w:iCs/>
          <w:sz w:val="22"/>
          <w:szCs w:val="22"/>
        </w:rPr>
        <w:t>Wright, N. T. The Letter to the Romans.</w:t>
      </w:r>
      <w:r>
        <w:rPr>
          <w:rFonts w:ascii="Times New Roman" w:hAnsi="Times New Roman" w:cs="Times New Roman"/>
          <w:sz w:val="22"/>
          <w:szCs w:val="22"/>
        </w:rPr>
        <w:t xml:space="preserve"> New Interpreter’s Bible. Nashville: Abingdon, 2002.</w:t>
      </w:r>
    </w:p>
    <w:p w14:paraId="78D222B7" w14:textId="77777777" w:rsidR="008B7250" w:rsidRPr="00850CC8" w:rsidRDefault="008B7250" w:rsidP="00850CC8">
      <w:pPr>
        <w:spacing w:before="120" w:after="120" w:line="276" w:lineRule="auto"/>
        <w:ind w:left="720"/>
        <w:jc w:val="both"/>
        <w:rPr>
          <w:rFonts w:ascii="Times New Roman" w:hAnsi="Times New Roman" w:cs="Times New Roman"/>
          <w:sz w:val="22"/>
          <w:szCs w:val="22"/>
        </w:rPr>
      </w:pPr>
      <w:r>
        <w:rPr>
          <w:rFonts w:ascii="Times New Roman" w:hAnsi="Times New Roman" w:cs="Times New Roman"/>
          <w:sz w:val="22"/>
          <w:szCs w:val="22"/>
        </w:rPr>
        <w:t>Cited in Chapter Eight for the argument that Paul’s language in Romans 3:25–26 draws on the Day of Atonement background and presents the cross as the definitive resolution of both the retributive and covenantal dimensions of God’s dealing with human sin.</w:t>
      </w:r>
    </w:p>
    <w:p w14:paraId="308AAD82" w14:textId="77777777" w:rsidR="008B7250" w:rsidRPr="00850CC8" w:rsidRDefault="008B7250" w:rsidP="00850CC8">
      <w:pPr>
        <w:spacing w:before="480" w:after="240" w:line="276" w:lineRule="auto"/>
        <w:jc w:val="center"/>
        <w:rPr>
          <w:rFonts w:ascii="Times New Roman" w:hAnsi="Times New Roman" w:cs="Times New Roman"/>
          <w:sz w:val="22"/>
          <w:szCs w:val="22"/>
        </w:rPr>
      </w:pPr>
      <w:r>
        <w:rPr>
          <w:rFonts w:ascii="Times New Roman" w:hAnsi="Times New Roman" w:cs="Times New Roman"/>
          <w:b/>
          <w:bCs/>
          <w:i/>
          <w:iCs/>
          <w:sz w:val="22"/>
          <w:szCs w:val="22"/>
        </w:rPr>
        <w:t>Old Testament Studies and Ancient Near Eastern Background</w:t>
      </w:r>
    </w:p>
    <w:p w14:paraId="532F24C6" w14:textId="77777777" w:rsidR="008B7250" w:rsidRPr="00850CC8" w:rsidRDefault="008B7250" w:rsidP="00850CC8">
      <w:pPr>
        <w:spacing w:before="240" w:line="276" w:lineRule="auto"/>
        <w:jc w:val="both"/>
        <w:rPr>
          <w:rFonts w:ascii="Times New Roman" w:hAnsi="Times New Roman" w:cs="Times New Roman"/>
          <w:sz w:val="22"/>
          <w:szCs w:val="22"/>
        </w:rPr>
      </w:pPr>
      <w:r>
        <w:rPr>
          <w:rFonts w:ascii="Times New Roman" w:hAnsi="Times New Roman" w:cs="Times New Roman"/>
          <w:i/>
          <w:iCs/>
          <w:sz w:val="22"/>
          <w:szCs w:val="22"/>
        </w:rPr>
        <w:t>Brueggemann, Walter. Genesis.</w:t>
      </w:r>
      <w:r>
        <w:rPr>
          <w:rFonts w:ascii="Times New Roman" w:hAnsi="Times New Roman" w:cs="Times New Roman"/>
          <w:sz w:val="22"/>
          <w:szCs w:val="22"/>
        </w:rPr>
        <w:t xml:space="preserve"> Interpretation. Atlanta: John Knox, 1982.</w:t>
      </w:r>
    </w:p>
    <w:p w14:paraId="52A2A3E2" w14:textId="77777777" w:rsidR="008B7250" w:rsidRPr="00850CC8" w:rsidRDefault="008B7250" w:rsidP="00850CC8">
      <w:pPr>
        <w:spacing w:before="120" w:after="120" w:line="276" w:lineRule="auto"/>
        <w:ind w:left="720"/>
        <w:jc w:val="both"/>
        <w:rPr>
          <w:rFonts w:ascii="Times New Roman" w:hAnsi="Times New Roman" w:cs="Times New Roman"/>
          <w:sz w:val="22"/>
          <w:szCs w:val="22"/>
        </w:rPr>
      </w:pPr>
      <w:r>
        <w:rPr>
          <w:rFonts w:ascii="Times New Roman" w:hAnsi="Times New Roman" w:cs="Times New Roman"/>
          <w:sz w:val="22"/>
          <w:szCs w:val="22"/>
        </w:rPr>
        <w:lastRenderedPageBreak/>
        <w:t>Cited in Chapter Six for the treatment of Abraham’s intercession as “covenant boldness.” Brueggemann’s characterization of the exchange in Genesis 18 as an instance in which Abraham holds God to his own disclosed commitments is one of the most evocative readings of the passage.</w:t>
      </w:r>
    </w:p>
    <w:p w14:paraId="4475FAC8" w14:textId="77777777" w:rsidR="008B7250" w:rsidRPr="00850CC8" w:rsidRDefault="008B7250" w:rsidP="00850CC8">
      <w:pPr>
        <w:spacing w:before="240" w:line="276" w:lineRule="auto"/>
        <w:jc w:val="both"/>
        <w:rPr>
          <w:rFonts w:ascii="Times New Roman" w:hAnsi="Times New Roman" w:cs="Times New Roman"/>
          <w:sz w:val="22"/>
          <w:szCs w:val="22"/>
        </w:rPr>
      </w:pPr>
      <w:r>
        <w:rPr>
          <w:rFonts w:ascii="Times New Roman" w:hAnsi="Times New Roman" w:cs="Times New Roman"/>
          <w:i/>
          <w:iCs/>
          <w:sz w:val="22"/>
          <w:szCs w:val="22"/>
        </w:rPr>
        <w:t>Brueggemann, Walter. The Message of the Psalms: A Theological Commentary.</w:t>
      </w:r>
      <w:r>
        <w:rPr>
          <w:rFonts w:ascii="Times New Roman" w:hAnsi="Times New Roman" w:cs="Times New Roman"/>
          <w:sz w:val="22"/>
          <w:szCs w:val="22"/>
        </w:rPr>
        <w:t xml:space="preserve"> Minneapolis: Augsburg, 1984.</w:t>
      </w:r>
    </w:p>
    <w:p w14:paraId="7D2290C9" w14:textId="77777777" w:rsidR="008B7250" w:rsidRPr="00850CC8" w:rsidRDefault="008B7250" w:rsidP="00850CC8">
      <w:pPr>
        <w:spacing w:before="120" w:after="120" w:line="276" w:lineRule="auto"/>
        <w:ind w:left="720"/>
        <w:jc w:val="both"/>
        <w:rPr>
          <w:rFonts w:ascii="Times New Roman" w:hAnsi="Times New Roman" w:cs="Times New Roman"/>
          <w:sz w:val="22"/>
          <w:szCs w:val="22"/>
        </w:rPr>
      </w:pPr>
      <w:r>
        <w:rPr>
          <w:rFonts w:ascii="Times New Roman" w:hAnsi="Times New Roman" w:cs="Times New Roman"/>
          <w:sz w:val="22"/>
          <w:szCs w:val="22"/>
        </w:rPr>
        <w:t>Cited in Chapter Seven for the argument that the lament tradition functions as the biblical authorization of honest challenge to divine action. The connection Brueggemann draws between the lament psalms and the kind of engaged, questioning faith that the difficult texts invite is directly relevant to the honest acknowledgment of what remains unresolved in Chapter Seven.</w:t>
      </w:r>
    </w:p>
    <w:p w14:paraId="32196FD3" w14:textId="77777777" w:rsidR="008B7250" w:rsidRPr="00850CC8" w:rsidRDefault="008B7250" w:rsidP="00850CC8">
      <w:pPr>
        <w:spacing w:before="240" w:line="276" w:lineRule="auto"/>
        <w:jc w:val="both"/>
        <w:rPr>
          <w:rFonts w:ascii="Times New Roman" w:hAnsi="Times New Roman" w:cs="Times New Roman"/>
          <w:sz w:val="22"/>
          <w:szCs w:val="22"/>
        </w:rPr>
      </w:pPr>
      <w:r>
        <w:rPr>
          <w:rFonts w:ascii="Times New Roman" w:hAnsi="Times New Roman" w:cs="Times New Roman"/>
          <w:i/>
          <w:iCs/>
          <w:sz w:val="22"/>
          <w:szCs w:val="22"/>
        </w:rPr>
        <w:t>Brueggemann, Walter. Theology of the Old Testament: Testimony, Dispute, Advocacy.</w:t>
      </w:r>
      <w:r>
        <w:rPr>
          <w:rFonts w:ascii="Times New Roman" w:hAnsi="Times New Roman" w:cs="Times New Roman"/>
          <w:sz w:val="22"/>
          <w:szCs w:val="22"/>
        </w:rPr>
        <w:t xml:space="preserve"> Minneapolis: Fortress, 1997.</w:t>
      </w:r>
    </w:p>
    <w:p w14:paraId="14E3AE6C" w14:textId="77777777" w:rsidR="008B7250" w:rsidRPr="00850CC8" w:rsidRDefault="008B7250" w:rsidP="00850CC8">
      <w:pPr>
        <w:spacing w:before="120" w:after="120" w:line="276" w:lineRule="auto"/>
        <w:ind w:left="720"/>
        <w:jc w:val="both"/>
        <w:rPr>
          <w:rFonts w:ascii="Times New Roman" w:hAnsi="Times New Roman" w:cs="Times New Roman"/>
          <w:sz w:val="22"/>
          <w:szCs w:val="22"/>
        </w:rPr>
      </w:pPr>
      <w:r>
        <w:rPr>
          <w:rFonts w:ascii="Times New Roman" w:hAnsi="Times New Roman" w:cs="Times New Roman"/>
          <w:sz w:val="22"/>
          <w:szCs w:val="22"/>
        </w:rPr>
        <w:t>The most comprehensive recent Old Testament theology from a critical perspective, cited in Chapter Seven for the analysis of the Exodus 34:6–7 formula and its centrality to Old Testament theology. Brueggemann’s account of Israel’s testimony and counter-testimony about the divine character provides a useful framework for understanding the tension between divine patience and divine judgment that Chapter Seven addresses.</w:t>
      </w:r>
    </w:p>
    <w:p w14:paraId="7DA7249F" w14:textId="77777777" w:rsidR="008B7250" w:rsidRPr="00850CC8" w:rsidRDefault="008B7250" w:rsidP="00850CC8">
      <w:pPr>
        <w:spacing w:before="240" w:line="276" w:lineRule="auto"/>
        <w:jc w:val="both"/>
        <w:rPr>
          <w:rFonts w:ascii="Times New Roman" w:hAnsi="Times New Roman" w:cs="Times New Roman"/>
          <w:sz w:val="22"/>
          <w:szCs w:val="22"/>
        </w:rPr>
      </w:pPr>
      <w:r>
        <w:rPr>
          <w:rFonts w:ascii="Times New Roman" w:hAnsi="Times New Roman" w:cs="Times New Roman"/>
          <w:i/>
          <w:iCs/>
          <w:sz w:val="22"/>
          <w:szCs w:val="22"/>
        </w:rPr>
        <w:t>Copan, Paul, and Matthew Flannagan. Did God Really Command Genocide? Coming to Terms with the Justice of God.</w:t>
      </w:r>
      <w:r>
        <w:rPr>
          <w:rFonts w:ascii="Times New Roman" w:hAnsi="Times New Roman" w:cs="Times New Roman"/>
          <w:sz w:val="22"/>
          <w:szCs w:val="22"/>
        </w:rPr>
        <w:t xml:space="preserve"> Grand Rapids: Baker Books, 2014.</w:t>
      </w:r>
    </w:p>
    <w:p w14:paraId="1034DB3B" w14:textId="77777777" w:rsidR="008B7250" w:rsidRPr="00850CC8" w:rsidRDefault="008B7250" w:rsidP="00850CC8">
      <w:pPr>
        <w:spacing w:before="120" w:after="120" w:line="276" w:lineRule="auto"/>
        <w:ind w:left="720"/>
        <w:jc w:val="both"/>
        <w:rPr>
          <w:rFonts w:ascii="Times New Roman" w:hAnsi="Times New Roman" w:cs="Times New Roman"/>
          <w:sz w:val="22"/>
          <w:szCs w:val="22"/>
        </w:rPr>
      </w:pPr>
      <w:r>
        <w:rPr>
          <w:rFonts w:ascii="Times New Roman" w:hAnsi="Times New Roman" w:cs="Times New Roman"/>
          <w:sz w:val="22"/>
          <w:szCs w:val="22"/>
        </w:rPr>
        <w:t>The most careful recent evangelical treatment of the conquest narratives, cited in Chapter Seven. Copan and Flannagan’s distinction between judgment under natural law and judgment under covenant law is one of the most useful analytical contributions to the discussion.</w:t>
      </w:r>
    </w:p>
    <w:p w14:paraId="56CB1676" w14:textId="77777777" w:rsidR="008B7250" w:rsidRPr="00850CC8" w:rsidRDefault="008B7250" w:rsidP="00850CC8">
      <w:pPr>
        <w:spacing w:before="240" w:line="276" w:lineRule="auto"/>
        <w:jc w:val="both"/>
        <w:rPr>
          <w:rFonts w:ascii="Times New Roman" w:hAnsi="Times New Roman" w:cs="Times New Roman"/>
          <w:sz w:val="22"/>
          <w:szCs w:val="22"/>
        </w:rPr>
      </w:pPr>
      <w:r>
        <w:rPr>
          <w:rFonts w:ascii="Times New Roman" w:hAnsi="Times New Roman" w:cs="Times New Roman"/>
          <w:i/>
          <w:iCs/>
          <w:sz w:val="22"/>
          <w:szCs w:val="22"/>
        </w:rPr>
        <w:t>Day, John. Molech: A God of Human Sacrifice in the Old Testament.</w:t>
      </w:r>
      <w:r>
        <w:rPr>
          <w:rFonts w:ascii="Times New Roman" w:hAnsi="Times New Roman" w:cs="Times New Roman"/>
          <w:sz w:val="22"/>
          <w:szCs w:val="22"/>
        </w:rPr>
        <w:t xml:space="preserve"> Cambridge: Cambridge University Press, 1989.</w:t>
      </w:r>
    </w:p>
    <w:p w14:paraId="48299744" w14:textId="77777777" w:rsidR="008B7250" w:rsidRPr="00850CC8" w:rsidRDefault="008B7250" w:rsidP="00850CC8">
      <w:pPr>
        <w:spacing w:before="120" w:after="120" w:line="276" w:lineRule="auto"/>
        <w:ind w:left="720"/>
        <w:jc w:val="both"/>
        <w:rPr>
          <w:rFonts w:ascii="Times New Roman" w:hAnsi="Times New Roman" w:cs="Times New Roman"/>
          <w:sz w:val="22"/>
          <w:szCs w:val="22"/>
        </w:rPr>
      </w:pPr>
      <w:r>
        <w:rPr>
          <w:rFonts w:ascii="Times New Roman" w:hAnsi="Times New Roman" w:cs="Times New Roman"/>
          <w:sz w:val="22"/>
          <w:szCs w:val="22"/>
        </w:rPr>
        <w:t>Cited in Chapter Seven for the documentation of Molech worship and child sacrifice in the ancient Near Eastern context. Day’s study provides important historical background for the claim that the practices described in Leviticus 18 were actual violations of the moral law accessible to all peoples through general revelation.</w:t>
      </w:r>
    </w:p>
    <w:p w14:paraId="7E9CE2D7" w14:textId="77777777" w:rsidR="008B7250" w:rsidRPr="00850CC8" w:rsidRDefault="008B7250" w:rsidP="00850CC8">
      <w:pPr>
        <w:spacing w:before="240" w:line="276" w:lineRule="auto"/>
        <w:jc w:val="both"/>
        <w:rPr>
          <w:rFonts w:ascii="Times New Roman" w:hAnsi="Times New Roman" w:cs="Times New Roman"/>
          <w:sz w:val="22"/>
          <w:szCs w:val="22"/>
        </w:rPr>
      </w:pPr>
      <w:r>
        <w:rPr>
          <w:rFonts w:ascii="Times New Roman" w:hAnsi="Times New Roman" w:cs="Times New Roman"/>
          <w:i/>
          <w:iCs/>
          <w:sz w:val="22"/>
          <w:szCs w:val="22"/>
        </w:rPr>
        <w:t>Fretheim, Terence E. Abraham: Trials of Family and Faith.</w:t>
      </w:r>
      <w:r>
        <w:rPr>
          <w:rFonts w:ascii="Times New Roman" w:hAnsi="Times New Roman" w:cs="Times New Roman"/>
          <w:sz w:val="22"/>
          <w:szCs w:val="22"/>
        </w:rPr>
        <w:t xml:space="preserve"> Columbia: University of South Carolina Press, 2007.</w:t>
      </w:r>
    </w:p>
    <w:p w14:paraId="63B75BD2" w14:textId="77777777" w:rsidR="008B7250" w:rsidRPr="00850CC8" w:rsidRDefault="008B7250" w:rsidP="00850CC8">
      <w:pPr>
        <w:spacing w:before="120" w:after="120" w:line="276" w:lineRule="auto"/>
        <w:ind w:left="720"/>
        <w:jc w:val="both"/>
        <w:rPr>
          <w:rFonts w:ascii="Times New Roman" w:hAnsi="Times New Roman" w:cs="Times New Roman"/>
          <w:sz w:val="22"/>
          <w:szCs w:val="22"/>
        </w:rPr>
      </w:pPr>
      <w:r>
        <w:rPr>
          <w:rFonts w:ascii="Times New Roman" w:hAnsi="Times New Roman" w:cs="Times New Roman"/>
          <w:sz w:val="22"/>
          <w:szCs w:val="22"/>
        </w:rPr>
        <w:t>Cited in Chapter Six for the argument that intercession in the biblical tradition is grounded in the intercessor’s relational standing with God and directed toward God’s own disclosed purposes. Fretheim’s characterization of Abraham’s intercession as participation in the divine deliberative process is one of the most illuminating accounts of how covenant proximity generates access to God.</w:t>
      </w:r>
    </w:p>
    <w:p w14:paraId="0C4A821A" w14:textId="77777777" w:rsidR="008B7250" w:rsidRPr="00850CC8" w:rsidRDefault="008B7250" w:rsidP="00850CC8">
      <w:pPr>
        <w:spacing w:before="240" w:line="276" w:lineRule="auto"/>
        <w:jc w:val="both"/>
        <w:rPr>
          <w:rFonts w:ascii="Times New Roman" w:hAnsi="Times New Roman" w:cs="Times New Roman"/>
          <w:sz w:val="22"/>
          <w:szCs w:val="22"/>
        </w:rPr>
      </w:pPr>
      <w:r>
        <w:rPr>
          <w:rFonts w:ascii="Times New Roman" w:hAnsi="Times New Roman" w:cs="Times New Roman"/>
          <w:i/>
          <w:iCs/>
          <w:sz w:val="22"/>
          <w:szCs w:val="22"/>
        </w:rPr>
        <w:t>Fretheim, Terence E. God and World in the Old Testament: A Relational Theology of Creation.</w:t>
      </w:r>
      <w:r>
        <w:rPr>
          <w:rFonts w:ascii="Times New Roman" w:hAnsi="Times New Roman" w:cs="Times New Roman"/>
          <w:sz w:val="22"/>
          <w:szCs w:val="22"/>
        </w:rPr>
        <w:t xml:space="preserve"> Nashville: Abingdon, 2005.</w:t>
      </w:r>
    </w:p>
    <w:p w14:paraId="216DC7C2" w14:textId="77777777" w:rsidR="008B7250" w:rsidRPr="00850CC8" w:rsidRDefault="008B7250" w:rsidP="00850CC8">
      <w:pPr>
        <w:spacing w:before="120" w:after="120" w:line="276" w:lineRule="auto"/>
        <w:ind w:left="720"/>
        <w:jc w:val="both"/>
        <w:rPr>
          <w:rFonts w:ascii="Times New Roman" w:hAnsi="Times New Roman" w:cs="Times New Roman"/>
          <w:sz w:val="22"/>
          <w:szCs w:val="22"/>
        </w:rPr>
      </w:pPr>
      <w:r>
        <w:rPr>
          <w:rFonts w:ascii="Times New Roman" w:hAnsi="Times New Roman" w:cs="Times New Roman"/>
          <w:sz w:val="22"/>
          <w:szCs w:val="22"/>
        </w:rPr>
        <w:lastRenderedPageBreak/>
        <w:t>Cited in Chapter Seven for the argument that the biblical text contains within itself the resources for questioning the divine violence it describes. Fretheim’s relational theology of creation is in many respects a natural conversation partner for the present book, and his insistence that Abraham’s challenge in Genesis 18:25 remains a live question within the canon represents the kind of honest theological engagement that Chapter Seven attempts to model.</w:t>
      </w:r>
    </w:p>
    <w:p w14:paraId="0B952CAE" w14:textId="77777777" w:rsidR="008B7250" w:rsidRPr="00850CC8" w:rsidRDefault="008B7250" w:rsidP="00850CC8">
      <w:pPr>
        <w:spacing w:before="240" w:line="276" w:lineRule="auto"/>
        <w:jc w:val="both"/>
        <w:rPr>
          <w:rFonts w:ascii="Times New Roman" w:hAnsi="Times New Roman" w:cs="Times New Roman"/>
          <w:sz w:val="22"/>
          <w:szCs w:val="22"/>
        </w:rPr>
      </w:pPr>
      <w:r>
        <w:rPr>
          <w:rFonts w:ascii="Times New Roman" w:hAnsi="Times New Roman" w:cs="Times New Roman"/>
          <w:i/>
          <w:iCs/>
          <w:sz w:val="22"/>
          <w:szCs w:val="22"/>
        </w:rPr>
        <w:t>Goldingay, John. Genesis.</w:t>
      </w:r>
      <w:r>
        <w:rPr>
          <w:rFonts w:ascii="Times New Roman" w:hAnsi="Times New Roman" w:cs="Times New Roman"/>
          <w:sz w:val="22"/>
          <w:szCs w:val="22"/>
        </w:rPr>
        <w:t xml:space="preserve"> Grand Rapids: Baker Academic, 2020.</w:t>
      </w:r>
    </w:p>
    <w:p w14:paraId="74DFC276" w14:textId="77777777" w:rsidR="008B7250" w:rsidRPr="00850CC8" w:rsidRDefault="008B7250" w:rsidP="00850CC8">
      <w:pPr>
        <w:spacing w:before="120" w:after="120" w:line="276" w:lineRule="auto"/>
        <w:ind w:left="720"/>
        <w:jc w:val="both"/>
        <w:rPr>
          <w:rFonts w:ascii="Times New Roman" w:hAnsi="Times New Roman" w:cs="Times New Roman"/>
          <w:sz w:val="22"/>
          <w:szCs w:val="22"/>
        </w:rPr>
      </w:pPr>
      <w:r>
        <w:rPr>
          <w:rFonts w:ascii="Times New Roman" w:hAnsi="Times New Roman" w:cs="Times New Roman"/>
          <w:sz w:val="22"/>
          <w:szCs w:val="22"/>
        </w:rPr>
        <w:t>Cited in Chapter Seven for the analysis of the phrase “the iniquity of the Amorites is not yet complete” in Genesis 15:16. Goldingay’s treatment situates the phrase within the broader Old Testament theology of the “filling up” of sin, providing the conceptual vocabulary for understanding Genesis 15:16 as a moral description rather than merely a logistical note about timing.</w:t>
      </w:r>
    </w:p>
    <w:p w14:paraId="47340BFF" w14:textId="77777777" w:rsidR="008B7250" w:rsidRPr="00850CC8" w:rsidRDefault="008B7250" w:rsidP="00850CC8">
      <w:pPr>
        <w:spacing w:before="240" w:line="276" w:lineRule="auto"/>
        <w:jc w:val="both"/>
        <w:rPr>
          <w:rFonts w:ascii="Times New Roman" w:hAnsi="Times New Roman" w:cs="Times New Roman"/>
          <w:sz w:val="22"/>
          <w:szCs w:val="22"/>
        </w:rPr>
      </w:pPr>
      <w:r>
        <w:rPr>
          <w:rFonts w:ascii="Times New Roman" w:hAnsi="Times New Roman" w:cs="Times New Roman"/>
          <w:i/>
          <w:iCs/>
          <w:sz w:val="22"/>
          <w:szCs w:val="22"/>
        </w:rPr>
        <w:t>Goldingay, John. Old Testament Theology, vol. 1: Israel’s Gospel.</w:t>
      </w:r>
      <w:r>
        <w:rPr>
          <w:rFonts w:ascii="Times New Roman" w:hAnsi="Times New Roman" w:cs="Times New Roman"/>
          <w:sz w:val="22"/>
          <w:szCs w:val="22"/>
        </w:rPr>
        <w:t xml:space="preserve"> Downers Grove: IVP Academic, 2003.</w:t>
      </w:r>
    </w:p>
    <w:p w14:paraId="32BD1B77" w14:textId="77777777" w:rsidR="008B7250" w:rsidRPr="00850CC8" w:rsidRDefault="008B7250" w:rsidP="00850CC8">
      <w:pPr>
        <w:spacing w:before="120" w:after="120" w:line="276" w:lineRule="auto"/>
        <w:ind w:left="720"/>
        <w:jc w:val="both"/>
        <w:rPr>
          <w:rFonts w:ascii="Times New Roman" w:hAnsi="Times New Roman" w:cs="Times New Roman"/>
          <w:sz w:val="22"/>
          <w:szCs w:val="22"/>
        </w:rPr>
      </w:pPr>
      <w:r>
        <w:rPr>
          <w:rFonts w:ascii="Times New Roman" w:hAnsi="Times New Roman" w:cs="Times New Roman"/>
          <w:sz w:val="22"/>
          <w:szCs w:val="22"/>
        </w:rPr>
        <w:t>Cited in Chapters Six and Seven for the treatment of the Exodus 34:6–7 formula and its function as a theological refrain throughout the Hebrew Bible. Goldingay’s calculation that the ratio of mercy to punishment in the formula is at least five hundred to one supports the claim that mercy is the grain of the divine character and judgment against it.</w:t>
      </w:r>
    </w:p>
    <w:p w14:paraId="1BD3784D" w14:textId="77777777" w:rsidR="008B7250" w:rsidRPr="00850CC8" w:rsidRDefault="008B7250" w:rsidP="00850CC8">
      <w:pPr>
        <w:spacing w:before="240" w:line="276" w:lineRule="auto"/>
        <w:jc w:val="both"/>
        <w:rPr>
          <w:rFonts w:ascii="Times New Roman" w:hAnsi="Times New Roman" w:cs="Times New Roman"/>
          <w:sz w:val="22"/>
          <w:szCs w:val="22"/>
        </w:rPr>
      </w:pPr>
      <w:r>
        <w:rPr>
          <w:rFonts w:ascii="Times New Roman" w:hAnsi="Times New Roman" w:cs="Times New Roman"/>
          <w:i/>
          <w:iCs/>
          <w:sz w:val="22"/>
          <w:szCs w:val="22"/>
        </w:rPr>
        <w:t>Kang, Sa-Moon. Divine War in the Old Testament and in the Ancient Near East.</w:t>
      </w:r>
      <w:r>
        <w:rPr>
          <w:rFonts w:ascii="Times New Roman" w:hAnsi="Times New Roman" w:cs="Times New Roman"/>
          <w:sz w:val="22"/>
          <w:szCs w:val="22"/>
        </w:rPr>
        <w:t xml:space="preserve"> Berlin: de Gruyter, 1989.</w:t>
      </w:r>
    </w:p>
    <w:p w14:paraId="1ABAF42C" w14:textId="77777777" w:rsidR="008B7250" w:rsidRPr="00850CC8" w:rsidRDefault="008B7250" w:rsidP="00850CC8">
      <w:pPr>
        <w:spacing w:before="120" w:after="120" w:line="276" w:lineRule="auto"/>
        <w:ind w:left="720"/>
        <w:jc w:val="both"/>
        <w:rPr>
          <w:rFonts w:ascii="Times New Roman" w:hAnsi="Times New Roman" w:cs="Times New Roman"/>
          <w:sz w:val="22"/>
          <w:szCs w:val="22"/>
        </w:rPr>
      </w:pPr>
      <w:r>
        <w:rPr>
          <w:rFonts w:ascii="Times New Roman" w:hAnsi="Times New Roman" w:cs="Times New Roman"/>
          <w:sz w:val="22"/>
          <w:szCs w:val="22"/>
        </w:rPr>
        <w:t>Cited in Chapter Seven for the comparative treatment of holy war in the Hebrew Bible and the ancient Near East. Kang’s study situates Israelite holy war within its comparative context while attending to the distinctive theological emphases of the biblical texts.</w:t>
      </w:r>
    </w:p>
    <w:p w14:paraId="1135F96E" w14:textId="77777777" w:rsidR="008B7250" w:rsidRPr="00850CC8" w:rsidRDefault="008B7250" w:rsidP="00850CC8">
      <w:pPr>
        <w:spacing w:before="240" w:line="276" w:lineRule="auto"/>
        <w:jc w:val="both"/>
        <w:rPr>
          <w:rFonts w:ascii="Times New Roman" w:hAnsi="Times New Roman" w:cs="Times New Roman"/>
          <w:sz w:val="22"/>
          <w:szCs w:val="22"/>
        </w:rPr>
      </w:pPr>
      <w:r>
        <w:rPr>
          <w:rFonts w:ascii="Times New Roman" w:hAnsi="Times New Roman" w:cs="Times New Roman"/>
          <w:i/>
          <w:iCs/>
          <w:sz w:val="22"/>
          <w:szCs w:val="22"/>
        </w:rPr>
        <w:t>Miller, Patrick D. The Divine Warrior in Early Israel.</w:t>
      </w:r>
      <w:r>
        <w:rPr>
          <w:rFonts w:ascii="Times New Roman" w:hAnsi="Times New Roman" w:cs="Times New Roman"/>
          <w:sz w:val="22"/>
          <w:szCs w:val="22"/>
        </w:rPr>
        <w:t xml:space="preserve"> Cambridge: Harvard University Press, 1973.</w:t>
      </w:r>
    </w:p>
    <w:p w14:paraId="5EAEA256" w14:textId="77777777" w:rsidR="008B7250" w:rsidRPr="00850CC8" w:rsidRDefault="008B7250" w:rsidP="00850CC8">
      <w:pPr>
        <w:spacing w:before="120" w:after="120" w:line="276" w:lineRule="auto"/>
        <w:ind w:left="720"/>
        <w:jc w:val="both"/>
        <w:rPr>
          <w:rFonts w:ascii="Times New Roman" w:hAnsi="Times New Roman" w:cs="Times New Roman"/>
          <w:sz w:val="22"/>
          <w:szCs w:val="22"/>
        </w:rPr>
      </w:pPr>
      <w:r>
        <w:rPr>
          <w:rFonts w:ascii="Times New Roman" w:hAnsi="Times New Roman" w:cs="Times New Roman"/>
          <w:sz w:val="22"/>
          <w:szCs w:val="22"/>
        </w:rPr>
        <w:t>Cited in Chapter Seven for the connection between holy war and the divine council tradition in the early poetry of the Hebrew Bible. Miller’s argument that the portrayal of the LORD as warrior is consistently embedded in the context of the divine council supports the claim that the conquest narratives represent a cosmic reassertion of divine order rather than merely a geopolitical event.</w:t>
      </w:r>
    </w:p>
    <w:p w14:paraId="6C96B1FA" w14:textId="77777777" w:rsidR="008B7250" w:rsidRPr="00850CC8" w:rsidRDefault="008B7250" w:rsidP="00850CC8">
      <w:pPr>
        <w:spacing w:before="240" w:line="276" w:lineRule="auto"/>
        <w:jc w:val="both"/>
        <w:rPr>
          <w:rFonts w:ascii="Times New Roman" w:hAnsi="Times New Roman" w:cs="Times New Roman"/>
          <w:sz w:val="22"/>
          <w:szCs w:val="22"/>
        </w:rPr>
      </w:pPr>
      <w:r>
        <w:rPr>
          <w:rFonts w:ascii="Times New Roman" w:hAnsi="Times New Roman" w:cs="Times New Roman"/>
          <w:i/>
          <w:iCs/>
          <w:sz w:val="22"/>
          <w:szCs w:val="22"/>
        </w:rPr>
        <w:t>Walton, John H. The Lost World of Genesis One: Ancient Cosmology and the Origins Debate.</w:t>
      </w:r>
      <w:r>
        <w:rPr>
          <w:rFonts w:ascii="Times New Roman" w:hAnsi="Times New Roman" w:cs="Times New Roman"/>
          <w:sz w:val="22"/>
          <w:szCs w:val="22"/>
        </w:rPr>
        <w:t xml:space="preserve"> Downers Grove: IVP Academic, 2009.</w:t>
      </w:r>
    </w:p>
    <w:p w14:paraId="6C36C3DF" w14:textId="77777777" w:rsidR="008B7250" w:rsidRPr="00850CC8" w:rsidRDefault="008B7250" w:rsidP="00850CC8">
      <w:pPr>
        <w:spacing w:before="120" w:after="120" w:line="276" w:lineRule="auto"/>
        <w:ind w:left="720"/>
        <w:jc w:val="both"/>
        <w:rPr>
          <w:rFonts w:ascii="Times New Roman" w:hAnsi="Times New Roman" w:cs="Times New Roman"/>
          <w:sz w:val="22"/>
          <w:szCs w:val="22"/>
        </w:rPr>
      </w:pPr>
      <w:r>
        <w:rPr>
          <w:rFonts w:ascii="Times New Roman" w:hAnsi="Times New Roman" w:cs="Times New Roman"/>
          <w:sz w:val="22"/>
          <w:szCs w:val="22"/>
        </w:rPr>
        <w:t>Cited in Chapter Three for the ancient Near Eastern background to cosmic temple theology. Walton’s argument that Genesis 1 is best understood as the inauguration of the cosmic temple rather than a scientific account of material origins provides important context for the royal-functional reading of the imago Dei developed in Chapter Three.</w:t>
      </w:r>
    </w:p>
    <w:p w14:paraId="0C052C30" w14:textId="77777777" w:rsidR="008B7250" w:rsidRPr="00850CC8" w:rsidRDefault="008B7250" w:rsidP="00850CC8">
      <w:pPr>
        <w:spacing w:before="240" w:line="276" w:lineRule="auto"/>
        <w:jc w:val="both"/>
        <w:rPr>
          <w:rFonts w:ascii="Times New Roman" w:hAnsi="Times New Roman" w:cs="Times New Roman"/>
          <w:sz w:val="22"/>
          <w:szCs w:val="22"/>
        </w:rPr>
      </w:pPr>
      <w:r>
        <w:rPr>
          <w:rFonts w:ascii="Times New Roman" w:hAnsi="Times New Roman" w:cs="Times New Roman"/>
          <w:i/>
          <w:iCs/>
          <w:sz w:val="22"/>
          <w:szCs w:val="22"/>
        </w:rPr>
        <w:t>Walton, John H. The Lost World of the Israelite Conquest: Covenant, Retribution, and the Fate of the Canaanites.</w:t>
      </w:r>
      <w:r>
        <w:rPr>
          <w:rFonts w:ascii="Times New Roman" w:hAnsi="Times New Roman" w:cs="Times New Roman"/>
          <w:sz w:val="22"/>
          <w:szCs w:val="22"/>
        </w:rPr>
        <w:t xml:space="preserve"> Downers Grove: IVP Academic, 2017.</w:t>
      </w:r>
    </w:p>
    <w:p w14:paraId="3D7CEFC0" w14:textId="77777777" w:rsidR="008B7250" w:rsidRPr="00850CC8" w:rsidRDefault="008B7250" w:rsidP="00850CC8">
      <w:pPr>
        <w:spacing w:before="120" w:after="120" w:line="276" w:lineRule="auto"/>
        <w:ind w:left="720"/>
        <w:jc w:val="both"/>
        <w:rPr>
          <w:rFonts w:ascii="Times New Roman" w:hAnsi="Times New Roman" w:cs="Times New Roman"/>
          <w:sz w:val="22"/>
          <w:szCs w:val="22"/>
        </w:rPr>
      </w:pPr>
      <w:r>
        <w:rPr>
          <w:rFonts w:ascii="Times New Roman" w:hAnsi="Times New Roman" w:cs="Times New Roman"/>
          <w:sz w:val="22"/>
          <w:szCs w:val="22"/>
        </w:rPr>
        <w:t xml:space="preserve">Cited in Chapter Six for the argument that the </w:t>
      </w:r>
      <w:r>
        <w:rPr>
          <w:rFonts w:ascii="Times New Roman" w:hAnsi="Times New Roman" w:cs="Times New Roman"/>
          <w:i/>
          <w:iCs/>
          <w:sz w:val="22"/>
          <w:szCs w:val="22"/>
        </w:rPr>
        <w:t>herem</w:t>
      </w:r>
      <w:r>
        <w:rPr>
          <w:rFonts w:ascii="Times New Roman" w:hAnsi="Times New Roman" w:cs="Times New Roman"/>
          <w:sz w:val="22"/>
          <w:szCs w:val="22"/>
        </w:rPr>
        <w:t xml:space="preserve"> command must be understood within its ancient Near Eastern covenantal context. Walton’s central claim that </w:t>
      </w:r>
      <w:r>
        <w:rPr>
          <w:rFonts w:ascii="Times New Roman" w:hAnsi="Times New Roman" w:cs="Times New Roman"/>
          <w:i/>
          <w:iCs/>
          <w:sz w:val="22"/>
          <w:szCs w:val="22"/>
        </w:rPr>
        <w:t>herem</w:t>
      </w:r>
      <w:r>
        <w:rPr>
          <w:rFonts w:ascii="Times New Roman" w:hAnsi="Times New Roman" w:cs="Times New Roman"/>
          <w:sz w:val="22"/>
          <w:szCs w:val="22"/>
        </w:rPr>
        <w:t xml:space="preserve"> is a function of Israel’s particular covenantal situation rather than a universal moral rule is one of the most important recent contributions to the evangelical discussion of the conquest narratives.</w:t>
      </w:r>
    </w:p>
    <w:p w14:paraId="7D066912" w14:textId="77777777" w:rsidR="008B7250" w:rsidRPr="00850CC8" w:rsidRDefault="008B7250" w:rsidP="00850CC8">
      <w:pPr>
        <w:spacing w:before="240" w:line="276" w:lineRule="auto"/>
        <w:jc w:val="both"/>
        <w:rPr>
          <w:rFonts w:ascii="Times New Roman" w:hAnsi="Times New Roman" w:cs="Times New Roman"/>
          <w:sz w:val="22"/>
          <w:szCs w:val="22"/>
        </w:rPr>
      </w:pPr>
      <w:r>
        <w:rPr>
          <w:rFonts w:ascii="Times New Roman" w:hAnsi="Times New Roman" w:cs="Times New Roman"/>
          <w:i/>
          <w:iCs/>
          <w:sz w:val="22"/>
          <w:szCs w:val="22"/>
        </w:rPr>
        <w:lastRenderedPageBreak/>
        <w:t>Younger, K. Lawson, Jr. Ancient Conquest Accounts: A Study in Ancient Near Eastern and Biblical History Writing.</w:t>
      </w:r>
      <w:r>
        <w:rPr>
          <w:rFonts w:ascii="Times New Roman" w:hAnsi="Times New Roman" w:cs="Times New Roman"/>
          <w:sz w:val="22"/>
          <w:szCs w:val="22"/>
        </w:rPr>
        <w:t xml:space="preserve"> Sheffield: Sheffield Academic Press, 1990.</w:t>
      </w:r>
    </w:p>
    <w:p w14:paraId="79F9CCF3" w14:textId="77777777" w:rsidR="008B7250" w:rsidRPr="00850CC8" w:rsidRDefault="008B7250" w:rsidP="00850CC8">
      <w:pPr>
        <w:spacing w:before="120" w:after="120" w:line="276" w:lineRule="auto"/>
        <w:ind w:left="720"/>
        <w:jc w:val="both"/>
        <w:rPr>
          <w:rFonts w:ascii="Times New Roman" w:hAnsi="Times New Roman" w:cs="Times New Roman"/>
          <w:sz w:val="22"/>
          <w:szCs w:val="22"/>
        </w:rPr>
      </w:pPr>
      <w:r>
        <w:rPr>
          <w:rFonts w:ascii="Times New Roman" w:hAnsi="Times New Roman" w:cs="Times New Roman"/>
          <w:sz w:val="22"/>
          <w:szCs w:val="22"/>
        </w:rPr>
        <w:t xml:space="preserve">The standard comparative literary treatment of ancient conquest accounts, cited in Chapter Seven. Younger’s demonstration that the language of total destruction was a conventional rhetorical idiom across multiple ancient Near Eastern cultures is the key scholarly foundation for reading the </w:t>
      </w:r>
      <w:r>
        <w:rPr>
          <w:rFonts w:ascii="Times New Roman" w:hAnsi="Times New Roman" w:cs="Times New Roman"/>
          <w:i/>
          <w:iCs/>
          <w:sz w:val="22"/>
          <w:szCs w:val="22"/>
        </w:rPr>
        <w:t>herem</w:t>
      </w:r>
      <w:r>
        <w:rPr>
          <w:rFonts w:ascii="Times New Roman" w:hAnsi="Times New Roman" w:cs="Times New Roman"/>
          <w:sz w:val="22"/>
          <w:szCs w:val="22"/>
        </w:rPr>
        <w:t xml:space="preserve"> passages in Joshua as employing hyperbolic rather than literal description.</w:t>
      </w:r>
    </w:p>
    <w:p w14:paraId="7F387864" w14:textId="77777777" w:rsidR="008B7250" w:rsidRPr="00850CC8" w:rsidRDefault="008B7250" w:rsidP="00850CC8">
      <w:pPr>
        <w:spacing w:before="480" w:after="240" w:line="276" w:lineRule="auto"/>
        <w:jc w:val="center"/>
        <w:rPr>
          <w:rFonts w:ascii="Times New Roman" w:hAnsi="Times New Roman" w:cs="Times New Roman"/>
          <w:sz w:val="22"/>
          <w:szCs w:val="22"/>
        </w:rPr>
      </w:pPr>
      <w:r>
        <w:rPr>
          <w:rFonts w:ascii="Times New Roman" w:hAnsi="Times New Roman" w:cs="Times New Roman"/>
          <w:b/>
          <w:bCs/>
          <w:i/>
          <w:iCs/>
          <w:sz w:val="22"/>
          <w:szCs w:val="22"/>
        </w:rPr>
        <w:t>Systematic and Philosophical Theology</w:t>
      </w:r>
    </w:p>
    <w:p w14:paraId="346F86BF" w14:textId="77777777" w:rsidR="008B7250" w:rsidRPr="00850CC8" w:rsidRDefault="008B7250" w:rsidP="00850CC8">
      <w:pPr>
        <w:spacing w:before="240" w:line="276" w:lineRule="auto"/>
        <w:jc w:val="both"/>
        <w:rPr>
          <w:rFonts w:ascii="Times New Roman" w:hAnsi="Times New Roman" w:cs="Times New Roman"/>
          <w:sz w:val="22"/>
          <w:szCs w:val="22"/>
        </w:rPr>
      </w:pPr>
      <w:r>
        <w:rPr>
          <w:rFonts w:ascii="Times New Roman" w:hAnsi="Times New Roman" w:cs="Times New Roman"/>
          <w:i/>
          <w:iCs/>
          <w:sz w:val="22"/>
          <w:szCs w:val="22"/>
        </w:rPr>
        <w:t>Balthasar, Hans Urs von. Theo-Drama: Theological Dramatic Theory, vol. 1: Prolegomena.</w:t>
      </w:r>
      <w:r>
        <w:rPr>
          <w:rFonts w:ascii="Times New Roman" w:hAnsi="Times New Roman" w:cs="Times New Roman"/>
          <w:sz w:val="22"/>
          <w:szCs w:val="22"/>
        </w:rPr>
        <w:t xml:space="preserve"> Translated by Graham Harrison. San Francisco: Ignatius Press, 1988.</w:t>
      </w:r>
    </w:p>
    <w:p w14:paraId="35910EF3" w14:textId="77777777" w:rsidR="008B7250" w:rsidRPr="00850CC8" w:rsidRDefault="008B7250" w:rsidP="00850CC8">
      <w:pPr>
        <w:spacing w:before="120" w:after="120" w:line="276" w:lineRule="auto"/>
        <w:ind w:left="720"/>
        <w:jc w:val="both"/>
        <w:rPr>
          <w:rFonts w:ascii="Times New Roman" w:hAnsi="Times New Roman" w:cs="Times New Roman"/>
          <w:sz w:val="22"/>
          <w:szCs w:val="22"/>
        </w:rPr>
      </w:pPr>
      <w:r>
        <w:rPr>
          <w:rFonts w:ascii="Times New Roman" w:hAnsi="Times New Roman" w:cs="Times New Roman"/>
          <w:sz w:val="22"/>
          <w:szCs w:val="22"/>
        </w:rPr>
        <w:t>Cited in Chapter Nine for the development of the theatrical metaphor in a direction complementary to, though distinct from, the present argument. Von Balthasar’s theo-dramatic theology develops the claim that the history of the world is a drama in which God and humanity are both actors, and that the moral life is a participation in this drama.</w:t>
      </w:r>
    </w:p>
    <w:p w14:paraId="18F757A5" w14:textId="77777777" w:rsidR="008B7250" w:rsidRPr="00850CC8" w:rsidRDefault="008B7250" w:rsidP="00850CC8">
      <w:pPr>
        <w:spacing w:before="240" w:line="276" w:lineRule="auto"/>
        <w:jc w:val="both"/>
        <w:rPr>
          <w:rFonts w:ascii="Times New Roman" w:hAnsi="Times New Roman" w:cs="Times New Roman"/>
          <w:sz w:val="22"/>
          <w:szCs w:val="22"/>
        </w:rPr>
      </w:pPr>
      <w:r>
        <w:rPr>
          <w:rFonts w:ascii="Times New Roman" w:hAnsi="Times New Roman" w:cs="Times New Roman"/>
          <w:i/>
          <w:iCs/>
          <w:sz w:val="22"/>
          <w:szCs w:val="22"/>
        </w:rPr>
        <w:t>Barth, Karl. Church Dogmatics</w:t>
      </w:r>
      <w:r>
        <w:rPr>
          <w:rFonts w:ascii="Times New Roman" w:hAnsi="Times New Roman" w:cs="Times New Roman"/>
          <w:sz w:val="22"/>
          <w:szCs w:val="22"/>
        </w:rPr>
        <w:t xml:space="preserve"> II/1. Translated by T. H. L. Parker et al. Edinburgh: T. &amp; T. Clark, 1957.</w:t>
      </w:r>
    </w:p>
    <w:p w14:paraId="63EA26D6" w14:textId="77777777" w:rsidR="008B7250" w:rsidRPr="00850CC8" w:rsidRDefault="008B7250" w:rsidP="00850CC8">
      <w:pPr>
        <w:spacing w:before="120" w:after="120" w:line="276" w:lineRule="auto"/>
        <w:ind w:left="720"/>
        <w:jc w:val="both"/>
        <w:rPr>
          <w:rFonts w:ascii="Times New Roman" w:hAnsi="Times New Roman" w:cs="Times New Roman"/>
          <w:sz w:val="22"/>
          <w:szCs w:val="22"/>
        </w:rPr>
      </w:pPr>
      <w:r>
        <w:rPr>
          <w:rFonts w:ascii="Times New Roman" w:hAnsi="Times New Roman" w:cs="Times New Roman"/>
          <w:sz w:val="22"/>
          <w:szCs w:val="22"/>
        </w:rPr>
        <w:t>Cited in Chapters Six and Eight for the analysis of divine wrath as the form that love takes when it encounters the refusal of the creature, and for the broader account of the relationship between divine justice and divine love. Barth’s formulation is one of the most important contributions to twentieth-century discussions of these questions and is directly relevant to Chapter Eight’s argument that retributive and restorative justice are two expressions of a single love.</w:t>
      </w:r>
    </w:p>
    <w:p w14:paraId="28E0CE0A" w14:textId="77777777" w:rsidR="008B7250" w:rsidRPr="00850CC8" w:rsidRDefault="008B7250" w:rsidP="00850CC8">
      <w:pPr>
        <w:spacing w:before="240" w:line="276" w:lineRule="auto"/>
        <w:jc w:val="both"/>
        <w:rPr>
          <w:rFonts w:ascii="Times New Roman" w:hAnsi="Times New Roman" w:cs="Times New Roman"/>
          <w:sz w:val="22"/>
          <w:szCs w:val="22"/>
        </w:rPr>
      </w:pPr>
      <w:r>
        <w:rPr>
          <w:rFonts w:ascii="Times New Roman" w:hAnsi="Times New Roman" w:cs="Times New Roman"/>
          <w:i/>
          <w:iCs/>
          <w:sz w:val="22"/>
          <w:szCs w:val="22"/>
        </w:rPr>
        <w:t>Bonhoeffer, Dietrich. Ethics.</w:t>
      </w:r>
      <w:r>
        <w:rPr>
          <w:rFonts w:ascii="Times New Roman" w:hAnsi="Times New Roman" w:cs="Times New Roman"/>
          <w:sz w:val="22"/>
          <w:szCs w:val="22"/>
        </w:rPr>
        <w:t xml:space="preserve"> Edited by Clifford J. Green. Translated by Reinhard Krauss et al. Minneapolis: Fortress, 2005.</w:t>
      </w:r>
    </w:p>
    <w:p w14:paraId="534D177E" w14:textId="77777777" w:rsidR="008B7250" w:rsidRPr="00850CC8" w:rsidRDefault="008B7250" w:rsidP="00850CC8">
      <w:pPr>
        <w:spacing w:before="120" w:after="120" w:line="276" w:lineRule="auto"/>
        <w:ind w:left="720"/>
        <w:jc w:val="both"/>
        <w:rPr>
          <w:rFonts w:ascii="Times New Roman" w:hAnsi="Times New Roman" w:cs="Times New Roman"/>
          <w:sz w:val="22"/>
          <w:szCs w:val="22"/>
        </w:rPr>
      </w:pPr>
      <w:r>
        <w:rPr>
          <w:rFonts w:ascii="Times New Roman" w:hAnsi="Times New Roman" w:cs="Times New Roman"/>
          <w:sz w:val="22"/>
          <w:szCs w:val="22"/>
        </w:rPr>
        <w:t>Cited in Chapter Nine for Bonhoeffer’s account of the “conformation” of human life to the form of Christ, which represents one of the most significant twentieth-century treatments of ethics as participation in the divine life rather than conformity to an external standard.</w:t>
      </w:r>
    </w:p>
    <w:p w14:paraId="4F8B3003" w14:textId="77777777" w:rsidR="008B7250" w:rsidRPr="00850CC8" w:rsidRDefault="008B7250" w:rsidP="00850CC8">
      <w:pPr>
        <w:spacing w:before="240" w:line="276" w:lineRule="auto"/>
        <w:jc w:val="both"/>
        <w:rPr>
          <w:rFonts w:ascii="Times New Roman" w:hAnsi="Times New Roman" w:cs="Times New Roman"/>
          <w:sz w:val="22"/>
          <w:szCs w:val="22"/>
        </w:rPr>
      </w:pPr>
      <w:r>
        <w:rPr>
          <w:rFonts w:ascii="Times New Roman" w:hAnsi="Times New Roman" w:cs="Times New Roman"/>
          <w:i/>
          <w:iCs/>
          <w:sz w:val="22"/>
          <w:szCs w:val="22"/>
        </w:rPr>
        <w:t>Edwards, Jonathan. “Concerning the End for Which God Created the World.”</w:t>
      </w:r>
      <w:r>
        <w:rPr>
          <w:rFonts w:ascii="Times New Roman" w:hAnsi="Times New Roman" w:cs="Times New Roman"/>
          <w:sz w:val="22"/>
          <w:szCs w:val="22"/>
        </w:rPr>
        <w:t xml:space="preserve"> In </w:t>
      </w:r>
      <w:r>
        <w:rPr>
          <w:rFonts w:ascii="Times New Roman" w:hAnsi="Times New Roman" w:cs="Times New Roman"/>
          <w:i/>
          <w:iCs/>
          <w:sz w:val="22"/>
          <w:szCs w:val="22"/>
        </w:rPr>
        <w:t>The Works of Jonathan Edwards, vol. 8: Ethical Writings.</w:t>
      </w:r>
      <w:r>
        <w:rPr>
          <w:rFonts w:ascii="Times New Roman" w:hAnsi="Times New Roman" w:cs="Times New Roman"/>
          <w:sz w:val="22"/>
          <w:szCs w:val="22"/>
        </w:rPr>
        <w:t xml:space="preserve"> Edited by Paul Ramsey. New Haven: Yale University Press, 1989.</w:t>
      </w:r>
    </w:p>
    <w:p w14:paraId="29BDCADE" w14:textId="77777777" w:rsidR="008B7250" w:rsidRPr="00850CC8" w:rsidRDefault="008B7250" w:rsidP="00850CC8">
      <w:pPr>
        <w:spacing w:before="120" w:after="120" w:line="276" w:lineRule="auto"/>
        <w:ind w:left="720"/>
        <w:jc w:val="both"/>
        <w:rPr>
          <w:rFonts w:ascii="Times New Roman" w:hAnsi="Times New Roman" w:cs="Times New Roman"/>
          <w:sz w:val="22"/>
          <w:szCs w:val="22"/>
        </w:rPr>
      </w:pPr>
      <w:r>
        <w:rPr>
          <w:rFonts w:ascii="Times New Roman" w:hAnsi="Times New Roman" w:cs="Times New Roman"/>
          <w:sz w:val="22"/>
          <w:szCs w:val="22"/>
        </w:rPr>
        <w:t>The most important single text for Chapter Nine’s account of the purpose of creation. Edwards’s argument that God’s ultimate end in creation is the communication of his own fullness to creatures capable of receiving and reflecting it provides the most rigorous theological foundation available for the prior self-giving structure that this book traces. The “beams of glory” image that closes Chapter Nine is drawn directly from Edwards’s text.</w:t>
      </w:r>
    </w:p>
    <w:p w14:paraId="711C7013" w14:textId="77777777" w:rsidR="008B7250" w:rsidRPr="00850CC8" w:rsidRDefault="008B7250" w:rsidP="00850CC8">
      <w:pPr>
        <w:spacing w:before="240" w:line="276" w:lineRule="auto"/>
        <w:jc w:val="both"/>
        <w:rPr>
          <w:rFonts w:ascii="Times New Roman" w:hAnsi="Times New Roman" w:cs="Times New Roman"/>
          <w:sz w:val="22"/>
          <w:szCs w:val="22"/>
        </w:rPr>
      </w:pPr>
      <w:r>
        <w:rPr>
          <w:rFonts w:ascii="Times New Roman" w:hAnsi="Times New Roman" w:cs="Times New Roman"/>
          <w:i/>
          <w:iCs/>
          <w:sz w:val="22"/>
          <w:szCs w:val="22"/>
        </w:rPr>
        <w:t>Gunton, Colin. The One, the Three and the Many: God, Creation and the Culture of Modernity.</w:t>
      </w:r>
      <w:r>
        <w:rPr>
          <w:rFonts w:ascii="Times New Roman" w:hAnsi="Times New Roman" w:cs="Times New Roman"/>
          <w:sz w:val="22"/>
          <w:szCs w:val="22"/>
        </w:rPr>
        <w:t xml:space="preserve"> Cambridge: Cambridge University Press, 1993.</w:t>
      </w:r>
    </w:p>
    <w:p w14:paraId="6B048967" w14:textId="77777777" w:rsidR="008B7250" w:rsidRPr="00850CC8" w:rsidRDefault="008B7250" w:rsidP="00850CC8">
      <w:pPr>
        <w:spacing w:before="120" w:after="120" w:line="276" w:lineRule="auto"/>
        <w:ind w:left="720"/>
        <w:jc w:val="both"/>
        <w:rPr>
          <w:rFonts w:ascii="Times New Roman" w:hAnsi="Times New Roman" w:cs="Times New Roman"/>
          <w:sz w:val="22"/>
          <w:szCs w:val="22"/>
        </w:rPr>
      </w:pPr>
      <w:r>
        <w:rPr>
          <w:rFonts w:ascii="Times New Roman" w:hAnsi="Times New Roman" w:cs="Times New Roman"/>
          <w:sz w:val="22"/>
          <w:szCs w:val="22"/>
        </w:rPr>
        <w:t xml:space="preserve">Cited in the Introduction as one of the most sustained recent attempts to ground a relational ethics in Trinitarian theology. Gunton’s argument that the pathologies of modernity are connected to the </w:t>
        <w:lastRenderedPageBreak/>
        <w:t>eclipse of robust Trinitarian theology in Western Christianity provides important context for the constructive project of the present book.</w:t>
      </w:r>
    </w:p>
    <w:p w14:paraId="2818220A" w14:textId="77777777" w:rsidR="008B7250" w:rsidRPr="00850CC8" w:rsidRDefault="008B7250" w:rsidP="00850CC8">
      <w:pPr>
        <w:spacing w:before="240" w:line="276" w:lineRule="auto"/>
        <w:jc w:val="both"/>
        <w:rPr>
          <w:rFonts w:ascii="Times New Roman" w:hAnsi="Times New Roman" w:cs="Times New Roman"/>
          <w:sz w:val="22"/>
          <w:szCs w:val="22"/>
        </w:rPr>
      </w:pPr>
      <w:r>
        <w:rPr>
          <w:rFonts w:ascii="Times New Roman" w:hAnsi="Times New Roman" w:cs="Times New Roman"/>
          <w:i/>
          <w:iCs/>
          <w:sz w:val="22"/>
          <w:szCs w:val="22"/>
        </w:rPr>
        <w:t>Helm, Paul. John Calvin’s Ideas.</w:t>
      </w:r>
      <w:r>
        <w:rPr>
          <w:rFonts w:ascii="Times New Roman" w:hAnsi="Times New Roman" w:cs="Times New Roman"/>
          <w:sz w:val="22"/>
          <w:szCs w:val="22"/>
        </w:rPr>
        <w:t xml:space="preserve"> Oxford: Oxford University Press, 2004.</w:t>
      </w:r>
    </w:p>
    <w:p w14:paraId="40DEA995" w14:textId="77777777" w:rsidR="008B7250" w:rsidRPr="00850CC8" w:rsidRDefault="008B7250" w:rsidP="00850CC8">
      <w:pPr>
        <w:spacing w:before="120" w:after="120" w:line="276" w:lineRule="auto"/>
        <w:ind w:left="720"/>
        <w:jc w:val="both"/>
        <w:rPr>
          <w:rFonts w:ascii="Times New Roman" w:hAnsi="Times New Roman" w:cs="Times New Roman"/>
          <w:sz w:val="22"/>
          <w:szCs w:val="22"/>
        </w:rPr>
      </w:pPr>
      <w:r>
        <w:rPr>
          <w:rFonts w:ascii="Times New Roman" w:hAnsi="Times New Roman" w:cs="Times New Roman"/>
          <w:sz w:val="22"/>
          <w:szCs w:val="22"/>
        </w:rPr>
        <w:t>Cited in Chapter Nine for the philosophical analysis of Edwards’s argument about the end of creation. Helm’s careful treatment of the relationship between divine glory and creaturely existence in the Reformed tradition provides useful background for the present book’s use of the Edwards material.</w:t>
      </w:r>
    </w:p>
    <w:p w14:paraId="391C8BB3" w14:textId="77777777" w:rsidR="008B7250" w:rsidRPr="00850CC8" w:rsidRDefault="008B7250" w:rsidP="00850CC8">
      <w:pPr>
        <w:spacing w:before="240" w:line="276" w:lineRule="auto"/>
        <w:jc w:val="both"/>
        <w:rPr>
          <w:rFonts w:ascii="Times New Roman" w:hAnsi="Times New Roman" w:cs="Times New Roman"/>
          <w:sz w:val="22"/>
          <w:szCs w:val="22"/>
        </w:rPr>
      </w:pPr>
      <w:r>
        <w:rPr>
          <w:rFonts w:ascii="Times New Roman" w:hAnsi="Times New Roman" w:cs="Times New Roman"/>
          <w:i/>
          <w:iCs/>
          <w:sz w:val="22"/>
          <w:szCs w:val="22"/>
        </w:rPr>
        <w:t>Lee, Sang Hyun. The Philosophical Theology of Jonathan Edwards.</w:t>
      </w:r>
      <w:r>
        <w:rPr>
          <w:rFonts w:ascii="Times New Roman" w:hAnsi="Times New Roman" w:cs="Times New Roman"/>
          <w:sz w:val="22"/>
          <w:szCs w:val="22"/>
        </w:rPr>
        <w:t xml:space="preserve"> Expanded ed. Princeton: Princeton University Press, 2000.</w:t>
      </w:r>
    </w:p>
    <w:p w14:paraId="17283250" w14:textId="77777777" w:rsidR="008B7250" w:rsidRPr="00850CC8" w:rsidRDefault="008B7250" w:rsidP="00850CC8">
      <w:pPr>
        <w:spacing w:before="120" w:after="120" w:line="276" w:lineRule="auto"/>
        <w:ind w:left="720"/>
        <w:jc w:val="both"/>
        <w:rPr>
          <w:rFonts w:ascii="Times New Roman" w:hAnsi="Times New Roman" w:cs="Times New Roman"/>
          <w:sz w:val="22"/>
          <w:szCs w:val="22"/>
        </w:rPr>
      </w:pPr>
      <w:r>
        <w:rPr>
          <w:rFonts w:ascii="Times New Roman" w:hAnsi="Times New Roman" w:cs="Times New Roman"/>
          <w:sz w:val="22"/>
          <w:szCs w:val="22"/>
        </w:rPr>
        <w:t>Cited in Chapter Nine for the analysis of what Edwards means by the claim that creatures’ participation in the divine fullness does not increase that fullness but expresses it. Lee’s philosophical treatment provides the most careful account available of the distinction between divine self-communication and any supposed augmentation of the divine life through creaturely response.</w:t>
      </w:r>
    </w:p>
    <w:p w14:paraId="7C1EEA32" w14:textId="77777777" w:rsidR="008B7250" w:rsidRPr="00850CC8" w:rsidRDefault="008B7250" w:rsidP="00850CC8">
      <w:pPr>
        <w:spacing w:before="240" w:line="276" w:lineRule="auto"/>
        <w:jc w:val="both"/>
        <w:rPr>
          <w:rFonts w:ascii="Times New Roman" w:hAnsi="Times New Roman" w:cs="Times New Roman"/>
          <w:sz w:val="22"/>
          <w:szCs w:val="22"/>
        </w:rPr>
      </w:pPr>
      <w:r>
        <w:rPr>
          <w:rFonts w:ascii="Times New Roman" w:hAnsi="Times New Roman" w:cs="Times New Roman"/>
          <w:i/>
          <w:iCs/>
          <w:sz w:val="22"/>
          <w:szCs w:val="22"/>
        </w:rPr>
        <w:t>McClymond, Michael J., and Gerald R. McDermott. The Theology of Jonathan Edwards.</w:t>
      </w:r>
      <w:r>
        <w:rPr>
          <w:rFonts w:ascii="Times New Roman" w:hAnsi="Times New Roman" w:cs="Times New Roman"/>
          <w:sz w:val="22"/>
          <w:szCs w:val="22"/>
        </w:rPr>
        <w:t xml:space="preserve"> Oxford: Oxford University Press, 2012.</w:t>
      </w:r>
    </w:p>
    <w:p w14:paraId="490B76C6" w14:textId="77777777" w:rsidR="008B7250" w:rsidRPr="00850CC8" w:rsidRDefault="008B7250" w:rsidP="00850CC8">
      <w:pPr>
        <w:spacing w:before="120" w:after="120" w:line="276" w:lineRule="auto"/>
        <w:ind w:left="720"/>
        <w:jc w:val="both"/>
        <w:rPr>
          <w:rFonts w:ascii="Times New Roman" w:hAnsi="Times New Roman" w:cs="Times New Roman"/>
          <w:sz w:val="22"/>
          <w:szCs w:val="22"/>
        </w:rPr>
      </w:pPr>
      <w:r>
        <w:rPr>
          <w:rFonts w:ascii="Times New Roman" w:hAnsi="Times New Roman" w:cs="Times New Roman"/>
          <w:sz w:val="22"/>
          <w:szCs w:val="22"/>
        </w:rPr>
        <w:t>Cited in Chapter Nine as a comprehensive treatment of Edwards’s theology, including his account of the end of creation. McClymond and McDermott’s collaborative study is the most thorough engagement with the full range of Edwards’s theological thought available.</w:t>
      </w:r>
    </w:p>
    <w:p w14:paraId="57D87873" w14:textId="77777777" w:rsidR="008B7250" w:rsidRPr="00850CC8" w:rsidRDefault="008B7250" w:rsidP="00850CC8">
      <w:pPr>
        <w:spacing w:before="240" w:line="276" w:lineRule="auto"/>
        <w:jc w:val="both"/>
        <w:rPr>
          <w:rFonts w:ascii="Times New Roman" w:hAnsi="Times New Roman" w:cs="Times New Roman"/>
          <w:sz w:val="22"/>
          <w:szCs w:val="22"/>
        </w:rPr>
      </w:pPr>
      <w:r>
        <w:rPr>
          <w:rFonts w:ascii="Times New Roman" w:hAnsi="Times New Roman" w:cs="Times New Roman"/>
          <w:i/>
          <w:iCs/>
          <w:sz w:val="22"/>
          <w:szCs w:val="22"/>
        </w:rPr>
        <w:t>Moltmann, Jürgen. The Coming of God: Christian Eschatology.</w:t>
      </w:r>
      <w:r>
        <w:rPr>
          <w:rFonts w:ascii="Times New Roman" w:hAnsi="Times New Roman" w:cs="Times New Roman"/>
          <w:sz w:val="22"/>
          <w:szCs w:val="22"/>
        </w:rPr>
        <w:t xml:space="preserve"> Translated by Margaret Kohl. Minneapolis: Fortress, 1996.</w:t>
      </w:r>
    </w:p>
    <w:p w14:paraId="2691AA8C" w14:textId="77777777" w:rsidR="008B7250" w:rsidRPr="00850CC8" w:rsidRDefault="008B7250" w:rsidP="00850CC8">
      <w:pPr>
        <w:spacing w:before="120" w:after="120" w:line="276" w:lineRule="auto"/>
        <w:ind w:left="720"/>
        <w:jc w:val="both"/>
        <w:rPr>
          <w:rFonts w:ascii="Times New Roman" w:hAnsi="Times New Roman" w:cs="Times New Roman"/>
          <w:sz w:val="22"/>
          <w:szCs w:val="22"/>
        </w:rPr>
      </w:pPr>
      <w:r>
        <w:rPr>
          <w:rFonts w:ascii="Times New Roman" w:hAnsi="Times New Roman" w:cs="Times New Roman"/>
          <w:sz w:val="22"/>
          <w:szCs w:val="22"/>
        </w:rPr>
        <w:t>Cited in Chapter Nine for the broader theological context of the eschatological argument. Moltmann’s account of the coming of God as the ultimate frame for understanding the moral and created orders provides a complementary perspective to the Edwards-influenced account developed in the present chapter.</w:t>
      </w:r>
    </w:p>
    <w:p w14:paraId="3D487D60" w14:textId="77777777" w:rsidR="008B7250" w:rsidRPr="00850CC8" w:rsidRDefault="008B7250" w:rsidP="00850CC8">
      <w:pPr>
        <w:spacing w:before="240" w:line="276" w:lineRule="auto"/>
        <w:jc w:val="both"/>
        <w:rPr>
          <w:rFonts w:ascii="Times New Roman" w:hAnsi="Times New Roman" w:cs="Times New Roman"/>
          <w:sz w:val="22"/>
          <w:szCs w:val="22"/>
        </w:rPr>
      </w:pPr>
      <w:r>
        <w:rPr>
          <w:rFonts w:ascii="Times New Roman" w:hAnsi="Times New Roman" w:cs="Times New Roman"/>
          <w:i/>
          <w:iCs/>
          <w:sz w:val="22"/>
          <w:szCs w:val="22"/>
        </w:rPr>
        <w:t>O’Donovan, Oliver. Resurrection and Moral Order: An Outline for Evangelical Ethics.</w:t>
      </w:r>
      <w:r>
        <w:rPr>
          <w:rFonts w:ascii="Times New Roman" w:hAnsi="Times New Roman" w:cs="Times New Roman"/>
          <w:sz w:val="22"/>
          <w:szCs w:val="22"/>
        </w:rPr>
        <w:t xml:space="preserve"> 2nd ed. Grand Rapids: Eerdmans, 1994.</w:t>
      </w:r>
    </w:p>
    <w:p w14:paraId="20FE8E6A" w14:textId="77777777" w:rsidR="008B7250" w:rsidRPr="00850CC8" w:rsidRDefault="008B7250" w:rsidP="00850CC8">
      <w:pPr>
        <w:spacing w:before="120" w:after="120" w:line="276" w:lineRule="auto"/>
        <w:ind w:left="720"/>
        <w:jc w:val="both"/>
        <w:rPr>
          <w:rFonts w:ascii="Times New Roman" w:hAnsi="Times New Roman" w:cs="Times New Roman"/>
          <w:sz w:val="22"/>
          <w:szCs w:val="22"/>
        </w:rPr>
      </w:pPr>
      <w:r>
        <w:rPr>
          <w:rFonts w:ascii="Times New Roman" w:hAnsi="Times New Roman" w:cs="Times New Roman"/>
          <w:sz w:val="22"/>
          <w:szCs w:val="22"/>
        </w:rPr>
        <w:t>One of the most important works in Protestant ethics of the twentieth century, cited in Chapters Five, Seven, and Nine. O’Donovan’s central argument, that the resurrection of Christ is the eschatological confirmation of the created moral order rather than its replacement, provides the christological grounding for the claim that the judgments of the Old Testament and the demands of the moral life find their ultimate meaning in the person and work of Jesus.</w:t>
      </w:r>
    </w:p>
    <w:p w14:paraId="60AA375F" w14:textId="77777777" w:rsidR="008B7250" w:rsidRPr="00850CC8" w:rsidRDefault="008B7250" w:rsidP="00850CC8">
      <w:pPr>
        <w:spacing w:before="240" w:line="276" w:lineRule="auto"/>
        <w:jc w:val="both"/>
        <w:rPr>
          <w:rFonts w:ascii="Times New Roman" w:hAnsi="Times New Roman" w:cs="Times New Roman"/>
          <w:sz w:val="22"/>
          <w:szCs w:val="22"/>
        </w:rPr>
      </w:pPr>
      <w:r>
        <w:rPr>
          <w:rFonts w:ascii="Times New Roman" w:hAnsi="Times New Roman" w:cs="Times New Roman"/>
          <w:i/>
          <w:iCs/>
          <w:sz w:val="22"/>
          <w:szCs w:val="22"/>
        </w:rPr>
        <w:t>O’Donovan, Oliver. Self, World, and Time: Ethics as Theology, vol. 1.</w:t>
      </w:r>
      <w:r>
        <w:rPr>
          <w:rFonts w:ascii="Times New Roman" w:hAnsi="Times New Roman" w:cs="Times New Roman"/>
          <w:sz w:val="22"/>
          <w:szCs w:val="22"/>
        </w:rPr>
        <w:t xml:space="preserve"> Grand Rapids: Eerdmans, 2013.</w:t>
      </w:r>
    </w:p>
    <w:p w14:paraId="7D1B208F" w14:textId="77777777" w:rsidR="008B7250" w:rsidRPr="00850CC8" w:rsidRDefault="008B7250" w:rsidP="00850CC8">
      <w:pPr>
        <w:spacing w:before="120" w:after="120" w:line="276" w:lineRule="auto"/>
        <w:ind w:left="720"/>
        <w:jc w:val="both"/>
        <w:rPr>
          <w:rFonts w:ascii="Times New Roman" w:hAnsi="Times New Roman" w:cs="Times New Roman"/>
          <w:sz w:val="22"/>
          <w:szCs w:val="22"/>
        </w:rPr>
      </w:pPr>
      <w:r>
        <w:rPr>
          <w:rFonts w:ascii="Times New Roman" w:hAnsi="Times New Roman" w:cs="Times New Roman"/>
          <w:sz w:val="22"/>
          <w:szCs w:val="22"/>
        </w:rPr>
        <w:t>Cited in Chapter Nine for the account of ethics as “spiritual worship.” O’Donovan’s most recent systematic treatment of ethics develops the doxological dimension of the moral life in a direction consistent with Chapter Nine’s argument that ethics and worship are two dimensions of the creature’s proper response to the reality of who God is.</w:t>
      </w:r>
    </w:p>
    <w:p w14:paraId="14BD011E" w14:textId="77777777" w:rsidR="008B7250" w:rsidRPr="00850CC8" w:rsidRDefault="008B7250" w:rsidP="00850CC8">
      <w:pPr>
        <w:spacing w:before="240" w:line="276" w:lineRule="auto"/>
        <w:jc w:val="both"/>
        <w:rPr>
          <w:rFonts w:ascii="Times New Roman" w:hAnsi="Times New Roman" w:cs="Times New Roman"/>
          <w:sz w:val="22"/>
          <w:szCs w:val="22"/>
        </w:rPr>
      </w:pPr>
      <w:r>
        <w:rPr>
          <w:rFonts w:ascii="Times New Roman" w:hAnsi="Times New Roman" w:cs="Times New Roman"/>
          <w:i/>
          <w:iCs/>
          <w:sz w:val="22"/>
          <w:szCs w:val="22"/>
        </w:rPr>
        <w:lastRenderedPageBreak/>
        <w:t>Schreiner, Susan E. The Theater of His Glory: Nature and the Natural Order in the Thought of John Calvin.</w:t>
      </w:r>
      <w:r>
        <w:rPr>
          <w:rFonts w:ascii="Times New Roman" w:hAnsi="Times New Roman" w:cs="Times New Roman"/>
          <w:sz w:val="22"/>
          <w:szCs w:val="22"/>
        </w:rPr>
        <w:t xml:space="preserve"> Durham: Labyrinth Press, 1991.</w:t>
      </w:r>
    </w:p>
    <w:p w14:paraId="31E0966B" w14:textId="77777777" w:rsidR="008B7250" w:rsidRPr="00850CC8" w:rsidRDefault="008B7250" w:rsidP="00850CC8">
      <w:pPr>
        <w:spacing w:before="120" w:after="120" w:line="276" w:lineRule="auto"/>
        <w:ind w:left="720"/>
        <w:jc w:val="both"/>
        <w:rPr>
          <w:rFonts w:ascii="Times New Roman" w:hAnsi="Times New Roman" w:cs="Times New Roman"/>
          <w:sz w:val="22"/>
          <w:szCs w:val="22"/>
        </w:rPr>
      </w:pPr>
      <w:r>
        <w:rPr>
          <w:rFonts w:ascii="Times New Roman" w:hAnsi="Times New Roman" w:cs="Times New Roman"/>
          <w:sz w:val="22"/>
          <w:szCs w:val="22"/>
        </w:rPr>
        <w:t>The most thorough treatment of the theatre metaphor in Calvin, cited in Chapter Nine. Schreiner traces the image across Calvin’s entire corpus and concludes that it functions primarily as an account of general revelation. The present book extends this function to include the moral life of image-bearing creatures as part of what the theatre displays.</w:t>
      </w:r>
    </w:p>
    <w:p w14:paraId="0FF75B65" w14:textId="77777777" w:rsidR="008B7250" w:rsidRPr="00850CC8" w:rsidRDefault="008B7250" w:rsidP="00850CC8">
      <w:pPr>
        <w:spacing w:before="240" w:line="276" w:lineRule="auto"/>
        <w:jc w:val="both"/>
        <w:rPr>
          <w:rFonts w:ascii="Times New Roman" w:hAnsi="Times New Roman" w:cs="Times New Roman"/>
          <w:sz w:val="22"/>
          <w:szCs w:val="22"/>
        </w:rPr>
      </w:pPr>
      <w:r>
        <w:rPr>
          <w:rFonts w:ascii="Times New Roman" w:hAnsi="Times New Roman" w:cs="Times New Roman"/>
          <w:i/>
          <w:iCs/>
          <w:sz w:val="22"/>
          <w:szCs w:val="22"/>
        </w:rPr>
        <w:t>Webster, John. Barth’s Ethics of Reconciliation.</w:t>
      </w:r>
      <w:r>
        <w:rPr>
          <w:rFonts w:ascii="Times New Roman" w:hAnsi="Times New Roman" w:cs="Times New Roman"/>
          <w:sz w:val="22"/>
          <w:szCs w:val="22"/>
        </w:rPr>
        <w:t xml:space="preserve"> Cambridge: Cambridge University Press, 1995.</w:t>
      </w:r>
    </w:p>
    <w:p w14:paraId="1F79E0F9" w14:textId="77777777" w:rsidR="008B7250" w:rsidRPr="00850CC8" w:rsidRDefault="008B7250" w:rsidP="00850CC8">
      <w:pPr>
        <w:spacing w:before="120" w:after="120" w:line="276" w:lineRule="auto"/>
        <w:ind w:left="720"/>
        <w:jc w:val="both"/>
        <w:rPr>
          <w:rFonts w:ascii="Times New Roman" w:hAnsi="Times New Roman" w:cs="Times New Roman"/>
          <w:sz w:val="22"/>
          <w:szCs w:val="22"/>
        </w:rPr>
      </w:pPr>
      <w:r>
        <w:rPr>
          <w:rFonts w:ascii="Times New Roman" w:hAnsi="Times New Roman" w:cs="Times New Roman"/>
          <w:sz w:val="22"/>
          <w:szCs w:val="22"/>
        </w:rPr>
        <w:t xml:space="preserve">Cited in Chapter Eight for the development of the implications of Barth’s account of divine wrath for the theology of atonement. Webster’s careful engagement with Barth provides useful secondary treatment of the texts cited directly from the </w:t>
      </w:r>
      <w:r>
        <w:rPr>
          <w:rFonts w:ascii="Times New Roman" w:hAnsi="Times New Roman" w:cs="Times New Roman"/>
          <w:i/>
          <w:iCs/>
          <w:sz w:val="22"/>
          <w:szCs w:val="22"/>
        </w:rPr>
        <w:t>Church Dogmatics.</w:t>
      </w:r>
    </w:p>
    <w:p w14:paraId="21B87B8A" w14:textId="77777777" w:rsidR="008B7250" w:rsidRPr="00850CC8" w:rsidRDefault="008B7250" w:rsidP="00850CC8">
      <w:pPr>
        <w:spacing w:before="240" w:line="276" w:lineRule="auto"/>
        <w:jc w:val="both"/>
        <w:rPr>
          <w:rFonts w:ascii="Times New Roman" w:hAnsi="Times New Roman" w:cs="Times New Roman"/>
          <w:sz w:val="22"/>
          <w:szCs w:val="22"/>
        </w:rPr>
      </w:pPr>
      <w:r>
        <w:rPr>
          <w:rFonts w:ascii="Times New Roman" w:hAnsi="Times New Roman" w:cs="Times New Roman"/>
          <w:i/>
          <w:iCs/>
          <w:sz w:val="22"/>
          <w:szCs w:val="22"/>
        </w:rPr>
        <w:t>Wilson, Jonathan R. God So Loved the World: A Christology for Disciples.</w:t>
      </w:r>
      <w:r>
        <w:rPr>
          <w:rFonts w:ascii="Times New Roman" w:hAnsi="Times New Roman" w:cs="Times New Roman"/>
          <w:sz w:val="22"/>
          <w:szCs w:val="22"/>
        </w:rPr>
        <w:t xml:space="preserve"> Grand Rapids: Baker Academic, 2001.</w:t>
      </w:r>
    </w:p>
    <w:p w14:paraId="3D6810C2" w14:textId="77777777" w:rsidR="008B7250" w:rsidRPr="00850CC8" w:rsidRDefault="008B7250" w:rsidP="00850CC8">
      <w:pPr>
        <w:spacing w:before="120" w:after="120" w:line="276" w:lineRule="auto"/>
        <w:ind w:left="720"/>
        <w:jc w:val="both"/>
        <w:rPr>
          <w:rFonts w:ascii="Times New Roman" w:hAnsi="Times New Roman" w:cs="Times New Roman"/>
          <w:sz w:val="22"/>
          <w:szCs w:val="22"/>
        </w:rPr>
      </w:pPr>
      <w:r>
        <w:rPr>
          <w:rFonts w:ascii="Times New Roman" w:hAnsi="Times New Roman" w:cs="Times New Roman"/>
          <w:sz w:val="22"/>
          <w:szCs w:val="22"/>
        </w:rPr>
        <w:t>Cited in Chapter Nine for the systematic treatment of ethics as doxology. Wilson’s account of the connection between Christology and the moral life provides a useful companion to the Edwards-influenced argument of the present book’s final chapter.</w:t>
      </w:r>
    </w:p>
    <w:p w14:paraId="5C57C215" w14:textId="77777777" w:rsidR="008B7250" w:rsidRPr="00850CC8" w:rsidRDefault="008B7250" w:rsidP="00850CC8">
      <w:pPr>
        <w:spacing w:before="240" w:line="276" w:lineRule="auto"/>
        <w:jc w:val="both"/>
        <w:rPr>
          <w:rFonts w:ascii="Times New Roman" w:hAnsi="Times New Roman" w:cs="Times New Roman"/>
          <w:sz w:val="22"/>
          <w:szCs w:val="22"/>
        </w:rPr>
      </w:pPr>
      <w:r>
        <w:rPr>
          <w:rFonts w:ascii="Times New Roman" w:hAnsi="Times New Roman" w:cs="Times New Roman"/>
          <w:i/>
          <w:iCs/>
          <w:sz w:val="22"/>
          <w:szCs w:val="22"/>
        </w:rPr>
        <w:t>Wojtyła, Karol. Love and Responsibility.</w:t>
      </w:r>
      <w:r>
        <w:rPr>
          <w:rFonts w:ascii="Times New Roman" w:hAnsi="Times New Roman" w:cs="Times New Roman"/>
          <w:sz w:val="22"/>
          <w:szCs w:val="22"/>
        </w:rPr>
        <w:t xml:space="preserve"> Translated by Grzegorz Ignatik. Boston: Pauline Books and Media, 2013.</w:t>
      </w:r>
    </w:p>
    <w:p w14:paraId="2DBD9724" w14:textId="77777777" w:rsidR="008B7250" w:rsidRPr="00850CC8" w:rsidRDefault="008B7250" w:rsidP="00850CC8">
      <w:pPr>
        <w:spacing w:before="120" w:after="120" w:line="276" w:lineRule="auto"/>
        <w:ind w:left="720"/>
        <w:jc w:val="both"/>
        <w:rPr>
          <w:rFonts w:ascii="Times New Roman" w:hAnsi="Times New Roman" w:cs="Times New Roman"/>
          <w:sz w:val="22"/>
          <w:szCs w:val="22"/>
        </w:rPr>
      </w:pPr>
      <w:r>
        <w:rPr>
          <w:rFonts w:ascii="Times New Roman" w:hAnsi="Times New Roman" w:cs="Times New Roman"/>
          <w:sz w:val="22"/>
          <w:szCs w:val="22"/>
        </w:rPr>
        <w:t xml:space="preserve">Cited in the Introduction and Chapter Four for the personalist norm and its account of love as the only adequate response to a person. Wojtyła’s phenomenological grounding of the personalist norm, and his account of the “law of the gift” drawn from </w:t>
      </w:r>
      <w:r>
        <w:rPr>
          <w:rFonts w:ascii="Times New Roman" w:hAnsi="Times New Roman" w:cs="Times New Roman"/>
          <w:i/>
          <w:iCs/>
          <w:sz w:val="22"/>
          <w:szCs w:val="22"/>
        </w:rPr>
        <w:t>Gaudium et Spes</w:t>
      </w:r>
      <w:r>
        <w:rPr>
          <w:rFonts w:ascii="Times New Roman" w:hAnsi="Times New Roman" w:cs="Times New Roman"/>
          <w:sz w:val="22"/>
          <w:szCs w:val="22"/>
        </w:rPr>
        <w:t xml:space="preserve"> 24, provides the philosophical counterpart to the Trinitarian theology of Chapter Two: the self-giving that constitutes the moral life is not the sacrifice of personhood but its completion, because only a person who truly possesses herself can truly give herself.</w:t>
      </w:r>
    </w:p>
    <w:p w14:paraId="5D5C0F0D" w14:textId="77777777" w:rsidR="008B7250" w:rsidRPr="00850CC8" w:rsidRDefault="008B7250" w:rsidP="00850CC8">
      <w:pPr>
        <w:spacing w:before="240" w:line="276" w:lineRule="auto"/>
        <w:jc w:val="both"/>
        <w:rPr>
          <w:rFonts w:ascii="Times New Roman" w:hAnsi="Times New Roman" w:cs="Times New Roman"/>
          <w:sz w:val="22"/>
          <w:szCs w:val="22"/>
        </w:rPr>
      </w:pPr>
      <w:r>
        <w:rPr>
          <w:rFonts w:ascii="Times New Roman" w:hAnsi="Times New Roman" w:cs="Times New Roman"/>
          <w:i/>
          <w:iCs/>
          <w:sz w:val="22"/>
          <w:szCs w:val="22"/>
        </w:rPr>
        <w:t>Wojtyła, Karol. Person and Act.</w:t>
      </w:r>
      <w:r>
        <w:rPr>
          <w:rFonts w:ascii="Times New Roman" w:hAnsi="Times New Roman" w:cs="Times New Roman"/>
          <w:sz w:val="22"/>
          <w:szCs w:val="22"/>
        </w:rPr>
        <w:t xml:space="preserve"> Translated by Andrzej Potocki. Dordrecht: D. Reidel, 1979.</w:t>
      </w:r>
    </w:p>
    <w:p w14:paraId="2FBA50CC" w14:textId="77777777" w:rsidR="008B7250" w:rsidRPr="00850CC8" w:rsidRDefault="008B7250" w:rsidP="00850CC8">
      <w:pPr>
        <w:spacing w:before="120" w:after="120" w:line="276" w:lineRule="auto"/>
        <w:ind w:left="720"/>
        <w:jc w:val="both"/>
        <w:rPr>
          <w:rFonts w:ascii="Times New Roman" w:hAnsi="Times New Roman" w:cs="Times New Roman"/>
          <w:sz w:val="22"/>
          <w:szCs w:val="22"/>
        </w:rPr>
      </w:pPr>
      <w:r>
        <w:rPr>
          <w:rFonts w:ascii="Times New Roman" w:hAnsi="Times New Roman" w:cs="Times New Roman"/>
          <w:sz w:val="22"/>
          <w:szCs w:val="22"/>
        </w:rPr>
        <w:t>Cited in Chapter Three for the philosophical development of the “law of the gift.” Wojtyła’s phenomenology of self-possession and self-governance, and his argument that the highest exercise of personhood is the free self-donation to another, provides the philosophical translation of what Chapter Three’s image theology establishes theologically: that the creature made in the image of a God whose inner life is mutual self-giving finds her deepest identity in responsive love rather than self-assertion.</w:t>
      </w:r>
    </w:p>
    <w:p w14:paraId="19BA6B3E" w14:textId="77777777" w:rsidR="008B7250" w:rsidRPr="00850CC8" w:rsidRDefault="008B7250" w:rsidP="00850CC8">
      <w:pPr>
        <w:spacing w:before="240" w:line="276" w:lineRule="auto"/>
        <w:jc w:val="both"/>
        <w:rPr>
          <w:rFonts w:ascii="Times New Roman" w:hAnsi="Times New Roman" w:cs="Times New Roman"/>
          <w:sz w:val="22"/>
          <w:szCs w:val="22"/>
        </w:rPr>
      </w:pPr>
      <w:r>
        <w:rPr>
          <w:rFonts w:ascii="Times New Roman" w:hAnsi="Times New Roman" w:cs="Times New Roman"/>
          <w:i/>
          <w:iCs/>
          <w:sz w:val="22"/>
          <w:szCs w:val="22"/>
        </w:rPr>
        <w:t>Zizioulas, John D. Being as Communion: Studies in Personhood and the Church.</w:t>
      </w:r>
      <w:r>
        <w:rPr>
          <w:rFonts w:ascii="Times New Roman" w:hAnsi="Times New Roman" w:cs="Times New Roman"/>
          <w:sz w:val="22"/>
          <w:szCs w:val="22"/>
        </w:rPr>
        <w:t xml:space="preserve"> Crestwood, NY: St. Vladimir’s Seminary Press, 1985.</w:t>
      </w:r>
    </w:p>
    <w:p w14:paraId="1FB0E7CB" w14:textId="77777777" w:rsidR="008B7250" w:rsidRPr="00850CC8" w:rsidRDefault="008B7250" w:rsidP="00850CC8">
      <w:pPr>
        <w:spacing w:before="120" w:after="120" w:line="276" w:lineRule="auto"/>
        <w:ind w:left="720"/>
        <w:jc w:val="both"/>
        <w:rPr>
          <w:rFonts w:ascii="Times New Roman" w:hAnsi="Times New Roman" w:cs="Times New Roman"/>
          <w:sz w:val="22"/>
          <w:szCs w:val="22"/>
        </w:rPr>
      </w:pPr>
      <w:r>
        <w:rPr>
          <w:rFonts w:ascii="Times New Roman" w:hAnsi="Times New Roman" w:cs="Times New Roman"/>
          <w:sz w:val="22"/>
          <w:szCs w:val="22"/>
        </w:rPr>
        <w:t>Cited in the Introduction as providing the ontological framework that makes the ethical argument of the present book possible. Zizioulas’s argument that personhood is constitutively relational rather than individual, and that this is true of the divine persons before it is true of human persons, is one of the most important contributions of Eastern Orthodox theology to contemporary discussions of the Trinity’s ethical significance. Chapter Two engages his account of perichoresis directly.</w:t>
      </w:r>
    </w:p>
    <w:p w14:paraId="60B9080C" w14:textId="77777777" w:rsidR="008B7250" w:rsidRPr="00850CC8" w:rsidRDefault="008B7250" w:rsidP="00850CC8">
      <w:pPr>
        <w:spacing w:before="480" w:after="240" w:line="276" w:lineRule="auto"/>
        <w:jc w:val="center"/>
        <w:rPr>
          <w:rFonts w:ascii="Times New Roman" w:hAnsi="Times New Roman" w:cs="Times New Roman"/>
          <w:sz w:val="22"/>
          <w:szCs w:val="22"/>
        </w:rPr>
      </w:pPr>
      <w:r>
        <w:rPr>
          <w:rFonts w:ascii="Times New Roman" w:hAnsi="Times New Roman" w:cs="Times New Roman"/>
          <w:b/>
          <w:bCs/>
          <w:i/>
          <w:iCs/>
          <w:sz w:val="22"/>
          <w:szCs w:val="22"/>
        </w:rPr>
        <w:lastRenderedPageBreak/>
        <w:t>Philosophical Ethics</w:t>
      </w:r>
    </w:p>
    <w:p w14:paraId="3576A221" w14:textId="77777777" w:rsidR="008B7250" w:rsidRPr="00850CC8" w:rsidRDefault="008B7250" w:rsidP="00850CC8">
      <w:pPr>
        <w:spacing w:before="240" w:line="276" w:lineRule="auto"/>
        <w:jc w:val="both"/>
        <w:rPr>
          <w:rFonts w:ascii="Times New Roman" w:hAnsi="Times New Roman" w:cs="Times New Roman"/>
          <w:sz w:val="22"/>
          <w:szCs w:val="22"/>
        </w:rPr>
      </w:pPr>
      <w:r>
        <w:rPr>
          <w:rFonts w:ascii="Times New Roman" w:hAnsi="Times New Roman" w:cs="Times New Roman"/>
          <w:i/>
          <w:iCs/>
          <w:sz w:val="22"/>
          <w:szCs w:val="22"/>
        </w:rPr>
        <w:t>Buber, Martin. I and Thou.</w:t>
      </w:r>
      <w:r>
        <w:rPr>
          <w:rFonts w:ascii="Times New Roman" w:hAnsi="Times New Roman" w:cs="Times New Roman"/>
          <w:sz w:val="22"/>
          <w:szCs w:val="22"/>
        </w:rPr>
        <w:t xml:space="preserve"> Translated by Walter Kaufmann. New York: Scribner, 1970.</w:t>
      </w:r>
    </w:p>
    <w:p w14:paraId="2336A9CD" w14:textId="77777777" w:rsidR="008B7250" w:rsidRPr="00850CC8" w:rsidRDefault="008B7250" w:rsidP="00850CC8">
      <w:pPr>
        <w:spacing w:before="120" w:after="120" w:line="276" w:lineRule="auto"/>
        <w:ind w:left="720"/>
        <w:jc w:val="both"/>
        <w:rPr>
          <w:rFonts w:ascii="Times New Roman" w:hAnsi="Times New Roman" w:cs="Times New Roman"/>
          <w:sz w:val="22"/>
          <w:szCs w:val="22"/>
        </w:rPr>
      </w:pPr>
      <w:r>
        <w:rPr>
          <w:rFonts w:ascii="Times New Roman" w:hAnsi="Times New Roman" w:cs="Times New Roman"/>
          <w:sz w:val="22"/>
          <w:szCs w:val="22"/>
        </w:rPr>
        <w:t>Cited in the Introduction and Chapter Four for the I-Thou and I-It distinction as a phenomenological account of authentic personal encounter. Buber’s argument that personhood is constituted in the I-Thou encounter rather than in solitary self-possession is the philosophical counterpart to the Trinitarian ontology developed in Chapter Two. His insistence that the I-It stance is the morally deficient stance, regardless of external behavior, directly supports Chapter Four’s argument that ethics is irreducibly personal.</w:t>
      </w:r>
    </w:p>
    <w:p w14:paraId="031CE0D6" w14:textId="77777777" w:rsidR="008B7250" w:rsidRPr="00850CC8" w:rsidRDefault="008B7250" w:rsidP="00850CC8">
      <w:pPr>
        <w:spacing w:before="240" w:line="276" w:lineRule="auto"/>
        <w:jc w:val="both"/>
        <w:rPr>
          <w:rFonts w:ascii="Times New Roman" w:hAnsi="Times New Roman" w:cs="Times New Roman"/>
          <w:sz w:val="22"/>
          <w:szCs w:val="22"/>
        </w:rPr>
      </w:pPr>
      <w:r>
        <w:rPr>
          <w:rFonts w:ascii="Times New Roman" w:hAnsi="Times New Roman" w:cs="Times New Roman"/>
          <w:i/>
          <w:iCs/>
          <w:sz w:val="22"/>
          <w:szCs w:val="22"/>
        </w:rPr>
        <w:t>Girard, René. Violence and the Sacred.</w:t>
      </w:r>
      <w:r>
        <w:rPr>
          <w:rFonts w:ascii="Times New Roman" w:hAnsi="Times New Roman" w:cs="Times New Roman"/>
          <w:sz w:val="22"/>
          <w:szCs w:val="22"/>
        </w:rPr>
        <w:t xml:space="preserve"> Translated by Patrick Gregory. Baltimore: Johns Hopkins University Press, 1977.</w:t>
      </w:r>
    </w:p>
    <w:p w14:paraId="05EA3089" w14:textId="77777777" w:rsidR="008B7250" w:rsidRPr="00850CC8" w:rsidRDefault="008B7250" w:rsidP="00850CC8">
      <w:pPr>
        <w:spacing w:before="120" w:after="120" w:line="276" w:lineRule="auto"/>
        <w:ind w:left="720"/>
        <w:jc w:val="both"/>
        <w:rPr>
          <w:rFonts w:ascii="Times New Roman" w:hAnsi="Times New Roman" w:cs="Times New Roman"/>
          <w:sz w:val="22"/>
          <w:szCs w:val="22"/>
        </w:rPr>
      </w:pPr>
      <w:r>
        <w:rPr>
          <w:rFonts w:ascii="Times New Roman" w:hAnsi="Times New Roman" w:cs="Times New Roman"/>
          <w:sz w:val="22"/>
          <w:szCs w:val="22"/>
        </w:rPr>
        <w:t>Cited in Chapter Eight for the analysis of mimetic violence and its tendency to reproduce rather than resolve the violence it was meant to address. Girard’s account provides an important critical perspective on purely retributive accounts of justice.</w:t>
      </w:r>
    </w:p>
    <w:p w14:paraId="0454B37E" w14:textId="77777777" w:rsidR="008B7250" w:rsidRPr="00850CC8" w:rsidRDefault="008B7250" w:rsidP="00850CC8">
      <w:pPr>
        <w:spacing w:before="240" w:line="276" w:lineRule="auto"/>
        <w:jc w:val="both"/>
        <w:rPr>
          <w:rFonts w:ascii="Times New Roman" w:hAnsi="Times New Roman" w:cs="Times New Roman"/>
          <w:sz w:val="22"/>
          <w:szCs w:val="22"/>
        </w:rPr>
      </w:pPr>
      <w:r>
        <w:rPr>
          <w:rFonts w:ascii="Times New Roman" w:hAnsi="Times New Roman" w:cs="Times New Roman"/>
          <w:i/>
          <w:iCs/>
          <w:sz w:val="22"/>
          <w:szCs w:val="22"/>
        </w:rPr>
        <w:t>Griswold, Charles. Forgiveness: A Philosophical Exploration.</w:t>
      </w:r>
      <w:r>
        <w:rPr>
          <w:rFonts w:ascii="Times New Roman" w:hAnsi="Times New Roman" w:cs="Times New Roman"/>
          <w:sz w:val="22"/>
          <w:szCs w:val="22"/>
        </w:rPr>
        <w:t xml:space="preserve"> Cambridge: Cambridge University Press, 2007.</w:t>
      </w:r>
    </w:p>
    <w:p w14:paraId="4076AA54" w14:textId="77777777" w:rsidR="008B7250" w:rsidRPr="00850CC8" w:rsidRDefault="008B7250" w:rsidP="00850CC8">
      <w:pPr>
        <w:spacing w:before="120" w:after="120" w:line="276" w:lineRule="auto"/>
        <w:ind w:left="720"/>
        <w:jc w:val="both"/>
        <w:rPr>
          <w:rFonts w:ascii="Times New Roman" w:hAnsi="Times New Roman" w:cs="Times New Roman"/>
          <w:sz w:val="22"/>
          <w:szCs w:val="22"/>
        </w:rPr>
      </w:pPr>
      <w:r>
        <w:rPr>
          <w:rFonts w:ascii="Times New Roman" w:hAnsi="Times New Roman" w:cs="Times New Roman"/>
          <w:sz w:val="22"/>
          <w:szCs w:val="22"/>
        </w:rPr>
        <w:t>Cited in Chapter Eight for the philosophical development of the distinction between forgiveness and reconciliation. Griswold’s argument that forgiveness and reconciliation make different demands and can be pursued independently provides a useful secular counterpart to Volf’s theological treatment of the same distinction.</w:t>
      </w:r>
    </w:p>
    <w:p w14:paraId="237120A0" w14:textId="77777777" w:rsidR="008B7250" w:rsidRPr="00850CC8" w:rsidRDefault="008B7250" w:rsidP="00850CC8">
      <w:pPr>
        <w:spacing w:before="240" w:line="276" w:lineRule="auto"/>
        <w:jc w:val="both"/>
        <w:rPr>
          <w:rFonts w:ascii="Times New Roman" w:hAnsi="Times New Roman" w:cs="Times New Roman"/>
          <w:sz w:val="22"/>
          <w:szCs w:val="22"/>
        </w:rPr>
      </w:pPr>
      <w:r>
        <w:rPr>
          <w:rFonts w:ascii="Times New Roman" w:hAnsi="Times New Roman" w:cs="Times New Roman"/>
          <w:i/>
          <w:iCs/>
          <w:sz w:val="22"/>
          <w:szCs w:val="22"/>
        </w:rPr>
        <w:t>Hart, H. L. A. Punishment and Responsibility: Essays in the Philosophy of Law.</w:t>
      </w:r>
      <w:r>
        <w:rPr>
          <w:rFonts w:ascii="Times New Roman" w:hAnsi="Times New Roman" w:cs="Times New Roman"/>
          <w:sz w:val="22"/>
          <w:szCs w:val="22"/>
        </w:rPr>
        <w:t xml:space="preserve"> 2nd ed. Oxford: Oxford University Press, 2008.</w:t>
      </w:r>
    </w:p>
    <w:p w14:paraId="45FD7157" w14:textId="77777777" w:rsidR="008B7250" w:rsidRPr="00850CC8" w:rsidRDefault="008B7250" w:rsidP="00850CC8">
      <w:pPr>
        <w:spacing w:before="120" w:after="120" w:line="276" w:lineRule="auto"/>
        <w:ind w:left="720"/>
        <w:jc w:val="both"/>
        <w:rPr>
          <w:rFonts w:ascii="Times New Roman" w:hAnsi="Times New Roman" w:cs="Times New Roman"/>
          <w:sz w:val="22"/>
          <w:szCs w:val="22"/>
        </w:rPr>
      </w:pPr>
      <w:r>
        <w:rPr>
          <w:rFonts w:ascii="Times New Roman" w:hAnsi="Times New Roman" w:cs="Times New Roman"/>
          <w:sz w:val="22"/>
          <w:szCs w:val="22"/>
        </w:rPr>
        <w:t>Cited in Chapter Eight for the standard objection to Kantian retributivism. Hart’s analytical philosophy of law remains one of the most important frameworks for thinking about the relationship between punishment, justice, and responsibility.</w:t>
      </w:r>
    </w:p>
    <w:p w14:paraId="26F200EE" w14:textId="77777777" w:rsidR="008B7250" w:rsidRPr="00850CC8" w:rsidRDefault="008B7250" w:rsidP="00850CC8">
      <w:pPr>
        <w:spacing w:before="240" w:line="276" w:lineRule="auto"/>
        <w:jc w:val="both"/>
        <w:rPr>
          <w:rFonts w:ascii="Times New Roman" w:hAnsi="Times New Roman" w:cs="Times New Roman"/>
          <w:sz w:val="22"/>
          <w:szCs w:val="22"/>
        </w:rPr>
      </w:pPr>
      <w:r>
        <w:rPr>
          <w:rFonts w:ascii="Times New Roman" w:hAnsi="Times New Roman" w:cs="Times New Roman"/>
          <w:i/>
          <w:iCs/>
          <w:sz w:val="22"/>
          <w:szCs w:val="22"/>
        </w:rPr>
        <w:t>Kant, Immanuel. The Metaphysics of Morals.</w:t>
      </w:r>
      <w:r>
        <w:rPr>
          <w:rFonts w:ascii="Times New Roman" w:hAnsi="Times New Roman" w:cs="Times New Roman"/>
          <w:sz w:val="22"/>
          <w:szCs w:val="22"/>
        </w:rPr>
        <w:t xml:space="preserve"> Translated by Mary Gregor. Cambridge: Cambridge University Press, 1996.</w:t>
      </w:r>
    </w:p>
    <w:p w14:paraId="2D1A7AA3" w14:textId="77777777" w:rsidR="008B7250" w:rsidRPr="00850CC8" w:rsidRDefault="008B7250" w:rsidP="00850CC8">
      <w:pPr>
        <w:spacing w:before="120" w:after="120" w:line="276" w:lineRule="auto"/>
        <w:ind w:left="720"/>
        <w:jc w:val="both"/>
        <w:rPr>
          <w:rFonts w:ascii="Times New Roman" w:hAnsi="Times New Roman" w:cs="Times New Roman"/>
          <w:sz w:val="22"/>
          <w:szCs w:val="22"/>
        </w:rPr>
      </w:pPr>
      <w:r>
        <w:rPr>
          <w:rFonts w:ascii="Times New Roman" w:hAnsi="Times New Roman" w:cs="Times New Roman"/>
          <w:sz w:val="22"/>
          <w:szCs w:val="22"/>
        </w:rPr>
        <w:t>Cited in Chapter Eight for the retributive argument in the section on penal law. Kant’s insistence that justice requires proportionate punishment, independent of its consequences, captures something the present book takes seriously even while arguing that the retributive demand is one dimension of a fuller account of justice. His broader moral philosophy is engaged critically in Chapter One.</w:t>
      </w:r>
    </w:p>
    <w:p w14:paraId="6BDF8053" w14:textId="77777777" w:rsidR="008B7250" w:rsidRPr="00850CC8" w:rsidRDefault="008B7250" w:rsidP="00850CC8">
      <w:pPr>
        <w:spacing w:before="240" w:line="276" w:lineRule="auto"/>
        <w:jc w:val="both"/>
        <w:rPr>
          <w:rFonts w:ascii="Times New Roman" w:hAnsi="Times New Roman" w:cs="Times New Roman"/>
          <w:sz w:val="22"/>
          <w:szCs w:val="22"/>
        </w:rPr>
      </w:pPr>
      <w:r>
        <w:rPr>
          <w:rFonts w:ascii="Times New Roman" w:hAnsi="Times New Roman" w:cs="Times New Roman"/>
          <w:i/>
          <w:iCs/>
          <w:sz w:val="22"/>
          <w:szCs w:val="22"/>
        </w:rPr>
        <w:t>Kierkegaard, Søren. Works of Love.</w:t>
      </w:r>
      <w:r>
        <w:rPr>
          <w:rFonts w:ascii="Times New Roman" w:hAnsi="Times New Roman" w:cs="Times New Roman"/>
          <w:sz w:val="22"/>
          <w:szCs w:val="22"/>
        </w:rPr>
        <w:t xml:space="preserve"> Translated by Howard and Edna Hong. Princeton: Princeton University Press, 1995.</w:t>
      </w:r>
    </w:p>
    <w:p w14:paraId="784AEA6F" w14:textId="77777777" w:rsidR="008B7250" w:rsidRPr="00850CC8" w:rsidRDefault="008B7250" w:rsidP="00850CC8">
      <w:pPr>
        <w:spacing w:before="120" w:after="120" w:line="276" w:lineRule="auto"/>
        <w:ind w:left="720"/>
        <w:jc w:val="both"/>
        <w:rPr>
          <w:rFonts w:ascii="Times New Roman" w:hAnsi="Times New Roman" w:cs="Times New Roman"/>
          <w:sz w:val="22"/>
          <w:szCs w:val="22"/>
        </w:rPr>
      </w:pPr>
      <w:r>
        <w:rPr>
          <w:rFonts w:ascii="Times New Roman" w:hAnsi="Times New Roman" w:cs="Times New Roman"/>
          <w:sz w:val="22"/>
          <w:szCs w:val="22"/>
        </w:rPr>
        <w:t xml:space="preserve">Cited in Chapter Five for the argument that the command to love the neighbor is possible only because it is grounded in the prior love of God. Kierkegaard’s analysis anticipates the present book’s treatment of the indicative-imperative structure at several points, and his insistence that </w:t>
        <w:lastRenderedPageBreak/>
        <w:t>without the Trinitarian grounding the command is either sentimentality or an impossible demand is one of the sharpest formulations of the claim this book is making.</w:t>
      </w:r>
    </w:p>
    <w:p w14:paraId="6D108EF2" w14:textId="77777777" w:rsidR="008B7250" w:rsidRPr="00850CC8" w:rsidRDefault="008B7250" w:rsidP="00850CC8">
      <w:pPr>
        <w:spacing w:before="240" w:line="276" w:lineRule="auto"/>
        <w:jc w:val="both"/>
        <w:rPr>
          <w:rFonts w:ascii="Times New Roman" w:hAnsi="Times New Roman" w:cs="Times New Roman"/>
          <w:sz w:val="22"/>
          <w:szCs w:val="22"/>
        </w:rPr>
      </w:pPr>
      <w:r>
        <w:rPr>
          <w:rFonts w:ascii="Times New Roman" w:hAnsi="Times New Roman" w:cs="Times New Roman"/>
          <w:i/>
          <w:iCs/>
          <w:sz w:val="22"/>
          <w:szCs w:val="22"/>
        </w:rPr>
        <w:t>MacIntyre, Alasdair. After Virtue: A Study in Moral Theory.</w:t>
      </w:r>
      <w:r>
        <w:rPr>
          <w:rFonts w:ascii="Times New Roman" w:hAnsi="Times New Roman" w:cs="Times New Roman"/>
          <w:sz w:val="22"/>
          <w:szCs w:val="22"/>
        </w:rPr>
        <w:t xml:space="preserve"> 3rd ed. Notre Dame: University of Notre Dame Press, 2007.</w:t>
      </w:r>
    </w:p>
    <w:p w14:paraId="2F48C609" w14:textId="77777777" w:rsidR="008B7250" w:rsidRPr="00850CC8" w:rsidRDefault="008B7250" w:rsidP="00850CC8">
      <w:pPr>
        <w:spacing w:before="120" w:after="120" w:line="276" w:lineRule="auto"/>
        <w:ind w:left="720"/>
        <w:jc w:val="both"/>
        <w:rPr>
          <w:rFonts w:ascii="Times New Roman" w:hAnsi="Times New Roman" w:cs="Times New Roman"/>
          <w:sz w:val="22"/>
          <w:szCs w:val="22"/>
        </w:rPr>
      </w:pPr>
      <w:r>
        <w:rPr>
          <w:rFonts w:ascii="Times New Roman" w:hAnsi="Times New Roman" w:cs="Times New Roman"/>
          <w:sz w:val="22"/>
          <w:szCs w:val="22"/>
        </w:rPr>
        <w:t>One of the most important works in twentieth-century ethics, cited in Chapters Four and the Introduction. MacIntyre’s diagnosis that modern moral discourse is a fragment of a conceptual scheme that has lost the narrative and communal context within which it made sense provides the most powerful version of the critique that Chapter One develops from a different angle.</w:t>
      </w:r>
    </w:p>
    <w:p w14:paraId="15E2254F" w14:textId="77777777" w:rsidR="008B7250" w:rsidRPr="00850CC8" w:rsidRDefault="008B7250" w:rsidP="00850CC8">
      <w:pPr>
        <w:spacing w:before="240" w:line="276" w:lineRule="auto"/>
        <w:jc w:val="both"/>
        <w:rPr>
          <w:rFonts w:ascii="Times New Roman" w:hAnsi="Times New Roman" w:cs="Times New Roman"/>
          <w:sz w:val="22"/>
          <w:szCs w:val="22"/>
        </w:rPr>
      </w:pPr>
      <w:r>
        <w:rPr>
          <w:rFonts w:ascii="Times New Roman" w:hAnsi="Times New Roman" w:cs="Times New Roman"/>
          <w:i/>
          <w:iCs/>
          <w:sz w:val="22"/>
          <w:szCs w:val="22"/>
        </w:rPr>
        <w:t>MacIntyre, Alasdair. Dependent Rational Animals: Why Human Beings Need the Virtues.</w:t>
      </w:r>
      <w:r>
        <w:rPr>
          <w:rFonts w:ascii="Times New Roman" w:hAnsi="Times New Roman" w:cs="Times New Roman"/>
          <w:sz w:val="22"/>
          <w:szCs w:val="22"/>
        </w:rPr>
        <w:t xml:space="preserve"> Chicago: Open Court, 1999.</w:t>
      </w:r>
    </w:p>
    <w:p w14:paraId="1FBDF99B" w14:textId="77777777" w:rsidR="008B7250" w:rsidRPr="00850CC8" w:rsidRDefault="008B7250" w:rsidP="00850CC8">
      <w:pPr>
        <w:spacing w:before="120" w:after="120" w:line="276" w:lineRule="auto"/>
        <w:ind w:left="720"/>
        <w:jc w:val="both"/>
        <w:rPr>
          <w:rFonts w:ascii="Times New Roman" w:hAnsi="Times New Roman" w:cs="Times New Roman"/>
          <w:sz w:val="22"/>
          <w:szCs w:val="22"/>
        </w:rPr>
      </w:pPr>
      <w:r>
        <w:rPr>
          <w:rFonts w:ascii="Times New Roman" w:hAnsi="Times New Roman" w:cs="Times New Roman"/>
          <w:sz w:val="22"/>
          <w:szCs w:val="22"/>
        </w:rPr>
        <w:t xml:space="preserve">Cited in Chapter Four as an extension of the </w:t>
      </w:r>
      <w:r>
        <w:rPr>
          <w:rFonts w:ascii="Times New Roman" w:hAnsi="Times New Roman" w:cs="Times New Roman"/>
          <w:i/>
          <w:iCs/>
          <w:sz w:val="22"/>
          <w:szCs w:val="22"/>
        </w:rPr>
        <w:t>After Virtue</w:t>
      </w:r>
      <w:r>
        <w:rPr>
          <w:rFonts w:ascii="Times New Roman" w:hAnsi="Times New Roman" w:cs="Times New Roman"/>
          <w:sz w:val="22"/>
          <w:szCs w:val="22"/>
        </w:rPr>
        <w:t xml:space="preserve"> argument into the territory of human vulnerability and dependence. MacIntyre’s account of the virtues required for creatures who are constitutively dependent on one another across the arc of a human life is directly relevant to the present book’s claim that the relational character of the moral life is an anthropological datum before it is a theoretical commitment.</w:t>
      </w:r>
    </w:p>
    <w:p w14:paraId="561D61BC" w14:textId="77777777" w:rsidR="008B7250" w:rsidRPr="00850CC8" w:rsidRDefault="008B7250" w:rsidP="00850CC8">
      <w:pPr>
        <w:spacing w:before="240" w:line="276" w:lineRule="auto"/>
        <w:jc w:val="both"/>
        <w:rPr>
          <w:rFonts w:ascii="Times New Roman" w:hAnsi="Times New Roman" w:cs="Times New Roman"/>
          <w:sz w:val="22"/>
          <w:szCs w:val="22"/>
        </w:rPr>
      </w:pPr>
      <w:r>
        <w:rPr>
          <w:rFonts w:ascii="Times New Roman" w:hAnsi="Times New Roman" w:cs="Times New Roman"/>
          <w:i/>
          <w:iCs/>
          <w:sz w:val="22"/>
          <w:szCs w:val="22"/>
        </w:rPr>
        <w:t>Murdoch, Iris. The Sovereignty of Good.</w:t>
      </w:r>
      <w:r>
        <w:rPr>
          <w:rFonts w:ascii="Times New Roman" w:hAnsi="Times New Roman" w:cs="Times New Roman"/>
          <w:sz w:val="22"/>
          <w:szCs w:val="22"/>
        </w:rPr>
        <w:t xml:space="preserve"> London: Routledge, 1970.</w:t>
      </w:r>
    </w:p>
    <w:p w14:paraId="403B4C81" w14:textId="77777777" w:rsidR="008B7250" w:rsidRPr="00850CC8" w:rsidRDefault="008B7250" w:rsidP="00850CC8">
      <w:pPr>
        <w:spacing w:before="120" w:after="120" w:line="276" w:lineRule="auto"/>
        <w:ind w:left="720"/>
        <w:jc w:val="both"/>
        <w:rPr>
          <w:rFonts w:ascii="Times New Roman" w:hAnsi="Times New Roman" w:cs="Times New Roman"/>
          <w:sz w:val="22"/>
          <w:szCs w:val="22"/>
        </w:rPr>
      </w:pPr>
      <w:r>
        <w:rPr>
          <w:rFonts w:ascii="Times New Roman" w:hAnsi="Times New Roman" w:cs="Times New Roman"/>
          <w:sz w:val="22"/>
          <w:szCs w:val="22"/>
        </w:rPr>
        <w:t>Cited in Chapters Four and the Introduction for the account of moral vision as “just and loving attention” to the particular reality of the other person. Murdoch’s moral philosophy, despite its Platonic rather than Trinitarian grounding, converges with the present book’s emphasis on attention and perception as prior to decision in the moral life.</w:t>
      </w:r>
    </w:p>
    <w:p w14:paraId="3DF2B739" w14:textId="77777777" w:rsidR="008B7250" w:rsidRPr="00850CC8" w:rsidRDefault="008B7250" w:rsidP="00850CC8">
      <w:pPr>
        <w:spacing w:before="240" w:line="276" w:lineRule="auto"/>
        <w:jc w:val="both"/>
        <w:rPr>
          <w:rFonts w:ascii="Times New Roman" w:hAnsi="Times New Roman" w:cs="Times New Roman"/>
          <w:sz w:val="22"/>
          <w:szCs w:val="22"/>
        </w:rPr>
      </w:pPr>
      <w:r>
        <w:rPr>
          <w:rFonts w:ascii="Times New Roman" w:hAnsi="Times New Roman" w:cs="Times New Roman"/>
          <w:i/>
          <w:iCs/>
          <w:sz w:val="22"/>
          <w:szCs w:val="22"/>
        </w:rPr>
        <w:t>Murphy, Jeffrey G. Kant: The Philosophy of Right.</w:t>
      </w:r>
      <w:r>
        <w:rPr>
          <w:rFonts w:ascii="Times New Roman" w:hAnsi="Times New Roman" w:cs="Times New Roman"/>
          <w:sz w:val="22"/>
          <w:szCs w:val="22"/>
        </w:rPr>
        <w:t xml:space="preserve"> London: Macmillan, 1970.</w:t>
      </w:r>
    </w:p>
    <w:p w14:paraId="236BCEB0" w14:textId="77777777" w:rsidR="008B7250" w:rsidRPr="00850CC8" w:rsidRDefault="008B7250" w:rsidP="00850CC8">
      <w:pPr>
        <w:spacing w:before="120" w:after="120" w:line="276" w:lineRule="auto"/>
        <w:ind w:left="720"/>
        <w:jc w:val="both"/>
        <w:rPr>
          <w:rFonts w:ascii="Times New Roman" w:hAnsi="Times New Roman" w:cs="Times New Roman"/>
          <w:sz w:val="22"/>
          <w:szCs w:val="22"/>
        </w:rPr>
      </w:pPr>
      <w:r>
        <w:rPr>
          <w:rFonts w:ascii="Times New Roman" w:hAnsi="Times New Roman" w:cs="Times New Roman"/>
          <w:sz w:val="22"/>
          <w:szCs w:val="22"/>
        </w:rPr>
        <w:t>Cited in Chapter Eight for the analysis of Kant’s retributivism and its relationship to his broader moral philosophy. Murphy’s treatment provides the most careful philosophical account of why Kant’s retributive argument takes the specific form it does.</w:t>
      </w:r>
    </w:p>
    <w:p w14:paraId="79E50CA0" w14:textId="77777777" w:rsidR="008B7250" w:rsidRPr="00850CC8" w:rsidRDefault="008B7250" w:rsidP="00850CC8">
      <w:pPr>
        <w:spacing w:before="240" w:line="276" w:lineRule="auto"/>
        <w:jc w:val="both"/>
        <w:rPr>
          <w:rFonts w:ascii="Times New Roman" w:hAnsi="Times New Roman" w:cs="Times New Roman"/>
          <w:sz w:val="22"/>
          <w:szCs w:val="22"/>
        </w:rPr>
      </w:pPr>
      <w:r>
        <w:rPr>
          <w:rFonts w:ascii="Times New Roman" w:hAnsi="Times New Roman" w:cs="Times New Roman"/>
          <w:i/>
          <w:iCs/>
          <w:sz w:val="22"/>
          <w:szCs w:val="22"/>
        </w:rPr>
        <w:t>Murray, John. Principles of Conduct: Aspects of Biblical Ethics.</w:t>
      </w:r>
      <w:r>
        <w:rPr>
          <w:rFonts w:ascii="Times New Roman" w:hAnsi="Times New Roman" w:cs="Times New Roman"/>
          <w:sz w:val="22"/>
          <w:szCs w:val="22"/>
        </w:rPr>
        <w:t xml:space="preserve"> Grand Rapids: Eerdmans, 1957.</w:t>
      </w:r>
    </w:p>
    <w:p w14:paraId="63225C65" w14:textId="77777777" w:rsidR="008B7250" w:rsidRPr="00850CC8" w:rsidRDefault="008B7250" w:rsidP="00850CC8">
      <w:pPr>
        <w:spacing w:before="120" w:after="120" w:line="276" w:lineRule="auto"/>
        <w:ind w:left="720"/>
        <w:jc w:val="both"/>
        <w:rPr>
          <w:rFonts w:ascii="Times New Roman" w:hAnsi="Times New Roman" w:cs="Times New Roman"/>
          <w:sz w:val="22"/>
          <w:szCs w:val="22"/>
        </w:rPr>
      </w:pPr>
      <w:r>
        <w:rPr>
          <w:rFonts w:ascii="Times New Roman" w:hAnsi="Times New Roman" w:cs="Times New Roman"/>
          <w:sz w:val="22"/>
          <w:szCs w:val="22"/>
        </w:rPr>
        <w:t>Cited in Chapter Five for the theological development of the indicative-imperative pattern and its significance for Christian ethics. Murray’s treatment is one of the most careful evangelical engagements with the structural relationship between the gospel indicative and the moral imperative.</w:t>
      </w:r>
    </w:p>
    <w:p w14:paraId="383F7BB6" w14:textId="77777777" w:rsidR="008B7250" w:rsidRPr="00850CC8" w:rsidRDefault="008B7250" w:rsidP="00850CC8">
      <w:pPr>
        <w:spacing w:before="240" w:line="276" w:lineRule="auto"/>
        <w:jc w:val="both"/>
        <w:rPr>
          <w:rFonts w:ascii="Times New Roman" w:hAnsi="Times New Roman" w:cs="Times New Roman"/>
          <w:sz w:val="22"/>
          <w:szCs w:val="22"/>
        </w:rPr>
      </w:pPr>
      <w:r>
        <w:rPr>
          <w:rFonts w:ascii="Times New Roman" w:hAnsi="Times New Roman" w:cs="Times New Roman"/>
          <w:i/>
          <w:iCs/>
          <w:sz w:val="22"/>
          <w:szCs w:val="22"/>
        </w:rPr>
        <w:t>Scheffler, Samuel. Boundaries and Allegiances: Problems of Justice and Responsibility in Liberal Thought.</w:t>
      </w:r>
      <w:r>
        <w:rPr>
          <w:rFonts w:ascii="Times New Roman" w:hAnsi="Times New Roman" w:cs="Times New Roman"/>
          <w:sz w:val="22"/>
          <w:szCs w:val="22"/>
        </w:rPr>
        <w:t xml:space="preserve"> Oxford: Oxford University Press, 2001.</w:t>
      </w:r>
    </w:p>
    <w:p w14:paraId="7679D9F8" w14:textId="77777777" w:rsidR="008B7250" w:rsidRPr="00850CC8" w:rsidRDefault="008B7250" w:rsidP="00850CC8">
      <w:pPr>
        <w:spacing w:before="120" w:after="120" w:line="276" w:lineRule="auto"/>
        <w:ind w:left="720"/>
        <w:jc w:val="both"/>
        <w:rPr>
          <w:rFonts w:ascii="Times New Roman" w:hAnsi="Times New Roman" w:cs="Times New Roman"/>
          <w:sz w:val="22"/>
          <w:szCs w:val="22"/>
        </w:rPr>
      </w:pPr>
      <w:r>
        <w:rPr>
          <w:rFonts w:ascii="Times New Roman" w:hAnsi="Times New Roman" w:cs="Times New Roman"/>
          <w:sz w:val="22"/>
          <w:szCs w:val="22"/>
        </w:rPr>
        <w:t>Cited in Chapters Four and the Introduction for the philosophical case for special obligations from within analytic philosophy. Scheffler’s argument that special obligations to particular people are among the most basic features of the moral life provides important philosophical support for the present book’s central claim about the relational character of ethics.</w:t>
      </w:r>
    </w:p>
    <w:p w14:paraId="3BABEBAA" w14:textId="77777777" w:rsidR="008B7250" w:rsidRPr="00850CC8" w:rsidRDefault="008B7250" w:rsidP="00850CC8">
      <w:pPr>
        <w:spacing w:before="240" w:line="276" w:lineRule="auto"/>
        <w:jc w:val="both"/>
        <w:rPr>
          <w:rFonts w:ascii="Times New Roman" w:hAnsi="Times New Roman" w:cs="Times New Roman"/>
          <w:sz w:val="22"/>
          <w:szCs w:val="22"/>
        </w:rPr>
      </w:pPr>
      <w:r>
        <w:rPr>
          <w:rFonts w:ascii="Times New Roman" w:hAnsi="Times New Roman" w:cs="Times New Roman"/>
          <w:i/>
          <w:iCs/>
          <w:sz w:val="22"/>
          <w:szCs w:val="22"/>
        </w:rPr>
        <w:t>Wattles, Jeffrey. The Golden Rule.</w:t>
      </w:r>
      <w:r>
        <w:rPr>
          <w:rFonts w:ascii="Times New Roman" w:hAnsi="Times New Roman" w:cs="Times New Roman"/>
          <w:sz w:val="22"/>
          <w:szCs w:val="22"/>
        </w:rPr>
        <w:t xml:space="preserve"> Oxford: Oxford University Press, 1996.</w:t>
      </w:r>
    </w:p>
    <w:p w14:paraId="4D7CBA3D" w14:textId="77777777" w:rsidR="008B7250" w:rsidRPr="00850CC8" w:rsidRDefault="008B7250" w:rsidP="00850CC8">
      <w:pPr>
        <w:spacing w:before="120" w:after="120" w:line="276" w:lineRule="auto"/>
        <w:ind w:left="720"/>
        <w:jc w:val="both"/>
        <w:rPr>
          <w:rFonts w:ascii="Times New Roman" w:hAnsi="Times New Roman" w:cs="Times New Roman"/>
          <w:sz w:val="22"/>
          <w:szCs w:val="22"/>
        </w:rPr>
      </w:pPr>
      <w:r>
        <w:rPr>
          <w:rFonts w:ascii="Times New Roman" w:hAnsi="Times New Roman" w:cs="Times New Roman"/>
          <w:sz w:val="22"/>
          <w:szCs w:val="22"/>
        </w:rPr>
        <w:lastRenderedPageBreak/>
        <w:t>The standard scholarly treatment of the Golden Rule across traditions from ancient Egypt and China through Greek philosophy and the Abrahamic religions, cited in Chapters Two and Five. Wattles’s conclusion that the Rule functions across traditions as an invitation to a quality of moral attention rather than a mechanical algorithm is consistent with the present argument. What his treatment does not pursue, and what this book proposes, is that the Rule’s pervasive presence in human moral traditions reflects the impression left on human moral consciousness by the image of a God whose inner life is constituted by exactly the reflexive structure the Rule encodes.</w:t>
      </w:r>
    </w:p>
    <w:p w14:paraId="45019C10" w14:textId="77777777" w:rsidR="008B7250" w:rsidRPr="00850CC8" w:rsidRDefault="008B7250" w:rsidP="00850CC8">
      <w:pPr>
        <w:spacing w:before="240" w:line="276" w:lineRule="auto"/>
        <w:jc w:val="both"/>
        <w:rPr>
          <w:rFonts w:ascii="Times New Roman" w:hAnsi="Times New Roman" w:cs="Times New Roman"/>
          <w:sz w:val="22"/>
          <w:szCs w:val="22"/>
        </w:rPr>
      </w:pPr>
      <w:r>
        <w:rPr>
          <w:rFonts w:ascii="Times New Roman" w:hAnsi="Times New Roman" w:cs="Times New Roman"/>
          <w:i/>
          <w:iCs/>
          <w:sz w:val="22"/>
          <w:szCs w:val="22"/>
        </w:rPr>
        <w:t>Williams, Bernard. Ethics and the Limits of Philosophy.</w:t>
      </w:r>
      <w:r>
        <w:rPr>
          <w:rFonts w:ascii="Times New Roman" w:hAnsi="Times New Roman" w:cs="Times New Roman"/>
          <w:sz w:val="22"/>
          <w:szCs w:val="22"/>
        </w:rPr>
        <w:t xml:space="preserve"> Cambridge: Harvard University Press, 1985.</w:t>
      </w:r>
    </w:p>
    <w:p w14:paraId="69CCECD9" w14:textId="77777777" w:rsidR="008B7250" w:rsidRPr="00850CC8" w:rsidRDefault="008B7250" w:rsidP="00850CC8">
      <w:pPr>
        <w:spacing w:before="120" w:after="120" w:line="276" w:lineRule="auto"/>
        <w:ind w:left="720"/>
        <w:jc w:val="both"/>
        <w:rPr>
          <w:rFonts w:ascii="Times New Roman" w:hAnsi="Times New Roman" w:cs="Times New Roman"/>
          <w:sz w:val="22"/>
          <w:szCs w:val="22"/>
        </w:rPr>
      </w:pPr>
      <w:r>
        <w:rPr>
          <w:rFonts w:ascii="Times New Roman" w:hAnsi="Times New Roman" w:cs="Times New Roman"/>
          <w:sz w:val="22"/>
          <w:szCs w:val="22"/>
        </w:rPr>
        <w:t>Cited in Chapter Four for the critique of impartialism and the argument that moral philosophy has systematically undervalued “thick” ethical concepts. Williams’s critique is one of the most penetrating analyses of what goes wrong when ethical theory abstracts too far from the texture of actual moral life.</w:t>
      </w:r>
    </w:p>
    <w:p w14:paraId="75A73545" w14:textId="77777777" w:rsidR="008B7250" w:rsidRPr="00850CC8" w:rsidRDefault="008B7250" w:rsidP="00850CC8">
      <w:pPr>
        <w:spacing w:before="240" w:line="276" w:lineRule="auto"/>
        <w:jc w:val="both"/>
        <w:rPr>
          <w:rFonts w:ascii="Times New Roman" w:hAnsi="Times New Roman" w:cs="Times New Roman"/>
          <w:sz w:val="22"/>
          <w:szCs w:val="22"/>
        </w:rPr>
      </w:pPr>
      <w:r>
        <w:rPr>
          <w:rFonts w:ascii="Times New Roman" w:hAnsi="Times New Roman" w:cs="Times New Roman"/>
          <w:i/>
          <w:iCs/>
          <w:sz w:val="22"/>
          <w:szCs w:val="22"/>
        </w:rPr>
        <w:t>Williams, Bernard. “Persons, Character and Morality.”</w:t>
      </w:r>
      <w:r>
        <w:rPr>
          <w:rFonts w:ascii="Times New Roman" w:hAnsi="Times New Roman" w:cs="Times New Roman"/>
          <w:sz w:val="22"/>
          <w:szCs w:val="22"/>
        </w:rPr>
        <w:t xml:space="preserve"> In </w:t>
      </w:r>
      <w:r>
        <w:rPr>
          <w:rFonts w:ascii="Times New Roman" w:hAnsi="Times New Roman" w:cs="Times New Roman"/>
          <w:i/>
          <w:iCs/>
          <w:sz w:val="22"/>
          <w:szCs w:val="22"/>
        </w:rPr>
        <w:t>Moral Luck: Philosophical Papers 1973–1980.</w:t>
      </w:r>
      <w:r>
        <w:rPr>
          <w:rFonts w:ascii="Times New Roman" w:hAnsi="Times New Roman" w:cs="Times New Roman"/>
          <w:sz w:val="22"/>
          <w:szCs w:val="22"/>
        </w:rPr>
        <w:t xml:space="preserve"> Cambridge: Cambridge University Press, 1981.</w:t>
      </w:r>
    </w:p>
    <w:p w14:paraId="2AB37C3F" w14:textId="77777777" w:rsidR="008B7250" w:rsidRPr="00850CC8" w:rsidRDefault="008B7250" w:rsidP="00850CC8">
      <w:pPr>
        <w:spacing w:before="120" w:after="120" w:line="276" w:lineRule="auto"/>
        <w:ind w:left="720"/>
        <w:jc w:val="both"/>
        <w:rPr>
          <w:rFonts w:ascii="Times New Roman" w:hAnsi="Times New Roman" w:cs="Times New Roman"/>
          <w:sz w:val="22"/>
          <w:szCs w:val="22"/>
        </w:rPr>
      </w:pPr>
      <w:r>
        <w:rPr>
          <w:rFonts w:ascii="Times New Roman" w:hAnsi="Times New Roman" w:cs="Times New Roman"/>
          <w:sz w:val="22"/>
          <w:szCs w:val="22"/>
        </w:rPr>
        <w:t>Cited in Chapter Four for the “one thought too many” formulation. Williams’s argument that a person who deliberates about whether to rescue their partner by calculating expected utility has already lost their way morally is a precise illustration of what the present book means by the claim that the relational character of the moral life is a reality to be inhabited, not a conclusion to be reached by reasoning.</w:t>
      </w:r>
    </w:p>
    <w:p w14:paraId="42B2512E" w14:textId="77777777" w:rsidR="008B7250" w:rsidRPr="00850CC8" w:rsidRDefault="008B7250" w:rsidP="00850CC8">
      <w:pPr>
        <w:spacing w:before="480" w:after="240" w:line="276" w:lineRule="auto"/>
        <w:jc w:val="center"/>
        <w:rPr>
          <w:rFonts w:ascii="Times New Roman" w:hAnsi="Times New Roman" w:cs="Times New Roman"/>
          <w:sz w:val="22"/>
          <w:szCs w:val="22"/>
        </w:rPr>
      </w:pPr>
      <w:r>
        <w:rPr>
          <w:rFonts w:ascii="Times New Roman" w:hAnsi="Times New Roman" w:cs="Times New Roman"/>
          <w:b/>
          <w:bCs/>
          <w:i/>
          <w:iCs/>
          <w:sz w:val="22"/>
          <w:szCs w:val="22"/>
        </w:rPr>
        <w:t>Social Ethics, Justice, and Reconciliation</w:t>
      </w:r>
    </w:p>
    <w:p w14:paraId="4DE138D0" w14:textId="77777777" w:rsidR="008B7250" w:rsidRPr="00850CC8" w:rsidRDefault="008B7250" w:rsidP="00850CC8">
      <w:pPr>
        <w:spacing w:before="240" w:line="276" w:lineRule="auto"/>
        <w:jc w:val="both"/>
        <w:rPr>
          <w:rFonts w:ascii="Times New Roman" w:hAnsi="Times New Roman" w:cs="Times New Roman"/>
          <w:sz w:val="22"/>
          <w:szCs w:val="22"/>
        </w:rPr>
      </w:pPr>
      <w:r>
        <w:rPr>
          <w:rFonts w:ascii="Times New Roman" w:hAnsi="Times New Roman" w:cs="Times New Roman"/>
          <w:i/>
          <w:iCs/>
          <w:sz w:val="22"/>
          <w:szCs w:val="22"/>
        </w:rPr>
        <w:t>Burrow, Rufus, Jr. God and Human Dignity: The Personalism, Theology, and Ethics of Martin Luther King, Jr.</w:t>
      </w:r>
      <w:r>
        <w:rPr>
          <w:rFonts w:ascii="Times New Roman" w:hAnsi="Times New Roman" w:cs="Times New Roman"/>
          <w:sz w:val="22"/>
          <w:szCs w:val="22"/>
        </w:rPr>
        <w:t xml:space="preserve"> Notre Dame: University of Notre Dame Press, 2006.</w:t>
      </w:r>
    </w:p>
    <w:p w14:paraId="544D5B01" w14:textId="77777777" w:rsidR="008B7250" w:rsidRPr="00850CC8" w:rsidRDefault="008B7250" w:rsidP="00850CC8">
      <w:pPr>
        <w:spacing w:before="120" w:after="120" w:line="276" w:lineRule="auto"/>
        <w:ind w:left="720"/>
        <w:jc w:val="both"/>
        <w:rPr>
          <w:rFonts w:ascii="Times New Roman" w:hAnsi="Times New Roman" w:cs="Times New Roman"/>
          <w:sz w:val="22"/>
          <w:szCs w:val="22"/>
        </w:rPr>
      </w:pPr>
      <w:r>
        <w:rPr>
          <w:rFonts w:ascii="Times New Roman" w:hAnsi="Times New Roman" w:cs="Times New Roman"/>
          <w:sz w:val="22"/>
          <w:szCs w:val="22"/>
        </w:rPr>
        <w:t>The most thorough scholarly treatment of Martin Luther King Jr.’s theistic personalism, cited in the Introduction, Chapter One, and Chapter Three. Burrow’s reconstruction of King’s personalist commitments, rooted in what he calls King’s “homespun personalism” from the Black church tradition and confirmed by academic study at Boston University, demonstrates that theistic personalism is not merely a theoretical position but a way of inhabiting the world animated by the conviction that a personal God guarantees the infinite worth of every person. King’s ethic of nonviolent love toward his persecutors is the clearest modern illustration of the obligation-as-vocation argument developed in Chapter Three.</w:t>
      </w:r>
    </w:p>
    <w:p w14:paraId="36A90E3B" w14:textId="77777777" w:rsidR="008B7250" w:rsidRPr="00850CC8" w:rsidRDefault="008B7250" w:rsidP="00850CC8">
      <w:pPr>
        <w:spacing w:before="240" w:line="276" w:lineRule="auto"/>
        <w:jc w:val="both"/>
        <w:rPr>
          <w:rFonts w:ascii="Times New Roman" w:hAnsi="Times New Roman" w:cs="Times New Roman"/>
          <w:sz w:val="22"/>
          <w:szCs w:val="22"/>
        </w:rPr>
      </w:pPr>
      <w:r>
        <w:rPr>
          <w:rFonts w:ascii="Times New Roman" w:hAnsi="Times New Roman" w:cs="Times New Roman"/>
          <w:i/>
          <w:iCs/>
          <w:sz w:val="22"/>
          <w:szCs w:val="22"/>
        </w:rPr>
        <w:t>Burrow, Rufus, Jr. Personalism: A Critical Introduction.</w:t>
      </w:r>
      <w:r>
        <w:rPr>
          <w:rFonts w:ascii="Times New Roman" w:hAnsi="Times New Roman" w:cs="Times New Roman"/>
          <w:sz w:val="22"/>
          <w:szCs w:val="22"/>
        </w:rPr>
        <w:t xml:space="preserve"> St. Louis: Chalice Press, 1999.</w:t>
      </w:r>
    </w:p>
    <w:p w14:paraId="0E93B13F" w14:textId="77777777" w:rsidR="008B7250" w:rsidRPr="00850CC8" w:rsidRDefault="008B7250" w:rsidP="00850CC8">
      <w:pPr>
        <w:spacing w:before="120" w:after="120" w:line="276" w:lineRule="auto"/>
        <w:ind w:left="720"/>
        <w:jc w:val="both"/>
        <w:rPr>
          <w:rFonts w:ascii="Times New Roman" w:hAnsi="Times New Roman" w:cs="Times New Roman"/>
          <w:sz w:val="22"/>
          <w:szCs w:val="22"/>
        </w:rPr>
      </w:pPr>
      <w:r>
        <w:rPr>
          <w:rFonts w:ascii="Times New Roman" w:hAnsi="Times New Roman" w:cs="Times New Roman"/>
          <w:sz w:val="22"/>
          <w:szCs w:val="22"/>
        </w:rPr>
        <w:t>The first comprehensive introduction to personalism in half a century, cited in the Introduction and Chapter Three for the account of the Boston personalist tradition and its central commitments. Burrow’s survey provides the most accessible overview of the tradition’s insistence on the irreducibility of the person and the relational constitution of personhood. His engagement with the Boston school’s moral law system and its influence on King provides the framework within which the personalist convergences identified throughout the present book can be situated.</w:t>
      </w:r>
    </w:p>
    <w:p w14:paraId="5303801F" w14:textId="77777777" w:rsidR="008B7250" w:rsidRPr="00850CC8" w:rsidRDefault="008B7250" w:rsidP="00850CC8">
      <w:pPr>
        <w:spacing w:before="240" w:line="276" w:lineRule="auto"/>
        <w:jc w:val="both"/>
        <w:rPr>
          <w:rFonts w:ascii="Times New Roman" w:hAnsi="Times New Roman" w:cs="Times New Roman"/>
          <w:sz w:val="22"/>
          <w:szCs w:val="22"/>
        </w:rPr>
      </w:pPr>
      <w:r>
        <w:rPr>
          <w:rFonts w:ascii="Times New Roman" w:hAnsi="Times New Roman" w:cs="Times New Roman"/>
          <w:i/>
          <w:iCs/>
          <w:sz w:val="22"/>
          <w:szCs w:val="22"/>
        </w:rPr>
        <w:lastRenderedPageBreak/>
        <w:t>Ferreira, M. Jamie. Love’s Grateful Striving: A Commentary on Kierkegaard’s Works of Love.</w:t>
      </w:r>
      <w:r>
        <w:rPr>
          <w:rFonts w:ascii="Times New Roman" w:hAnsi="Times New Roman" w:cs="Times New Roman"/>
          <w:sz w:val="22"/>
          <w:szCs w:val="22"/>
        </w:rPr>
        <w:t xml:space="preserve"> Oxford: Oxford University Press, 2001.</w:t>
      </w:r>
    </w:p>
    <w:p w14:paraId="485714FB" w14:textId="77777777" w:rsidR="008B7250" w:rsidRPr="00850CC8" w:rsidRDefault="008B7250" w:rsidP="00850CC8">
      <w:pPr>
        <w:spacing w:before="120" w:after="120" w:line="276" w:lineRule="auto"/>
        <w:ind w:left="720"/>
        <w:jc w:val="both"/>
        <w:rPr>
          <w:rFonts w:ascii="Times New Roman" w:hAnsi="Times New Roman" w:cs="Times New Roman"/>
          <w:sz w:val="22"/>
          <w:szCs w:val="22"/>
        </w:rPr>
      </w:pPr>
      <w:r>
        <w:rPr>
          <w:rFonts w:ascii="Times New Roman" w:hAnsi="Times New Roman" w:cs="Times New Roman"/>
          <w:sz w:val="22"/>
          <w:szCs w:val="22"/>
        </w:rPr>
        <w:t>Cited in Chapter Five as a contemporary theological engagement with Kierkegaard’s ethics of love. Ferreira’s careful commentary develops the connections between Kierkegaard’s account and contemporary theological ethics in ways directly relevant to the present book’s argument about the indicative-imperative structure of the love commandment.</w:t>
      </w:r>
    </w:p>
    <w:p w14:paraId="4FCCB45A" w14:textId="77777777" w:rsidR="008B7250" w:rsidRPr="00850CC8" w:rsidRDefault="008B7250" w:rsidP="00850CC8">
      <w:pPr>
        <w:spacing w:before="240" w:line="276" w:lineRule="auto"/>
        <w:jc w:val="both"/>
        <w:rPr>
          <w:rFonts w:ascii="Times New Roman" w:hAnsi="Times New Roman" w:cs="Times New Roman"/>
          <w:sz w:val="22"/>
          <w:szCs w:val="22"/>
        </w:rPr>
      </w:pPr>
      <w:r>
        <w:rPr>
          <w:rFonts w:ascii="Times New Roman" w:hAnsi="Times New Roman" w:cs="Times New Roman"/>
          <w:i/>
          <w:iCs/>
          <w:sz w:val="22"/>
          <w:szCs w:val="22"/>
        </w:rPr>
        <w:t>Gilligan, Carol. In a Different Voice: Psychological Theory and Women’s Development.</w:t>
      </w:r>
      <w:r>
        <w:rPr>
          <w:rFonts w:ascii="Times New Roman" w:hAnsi="Times New Roman" w:cs="Times New Roman"/>
          <w:sz w:val="22"/>
          <w:szCs w:val="22"/>
        </w:rPr>
        <w:t xml:space="preserve"> Cambridge: Harvard University Press, 1982.</w:t>
      </w:r>
    </w:p>
    <w:p w14:paraId="7B2FD25C" w14:textId="77777777" w:rsidR="008B7250" w:rsidRPr="00850CC8" w:rsidRDefault="008B7250" w:rsidP="00850CC8">
      <w:pPr>
        <w:spacing w:before="120" w:after="120" w:line="276" w:lineRule="auto"/>
        <w:ind w:left="720"/>
        <w:jc w:val="both"/>
        <w:rPr>
          <w:rFonts w:ascii="Times New Roman" w:hAnsi="Times New Roman" w:cs="Times New Roman"/>
          <w:sz w:val="22"/>
          <w:szCs w:val="22"/>
        </w:rPr>
      </w:pPr>
      <w:r>
        <w:rPr>
          <w:rFonts w:ascii="Times New Roman" w:hAnsi="Times New Roman" w:cs="Times New Roman"/>
          <w:sz w:val="22"/>
          <w:szCs w:val="22"/>
        </w:rPr>
        <w:t>Cited in the Introduction as one of the voices in the broader conversation about the relational character of ethics that the present book joins. Gilligan’s evidence, drawn from developmental psychology, that standard accounts of moral reasoning had been built around one kind of moral voice while treating another as immature or derivative is an important empirical contribution to the case that the relational character of the moral life has been systematically undervalued.</w:t>
      </w:r>
    </w:p>
    <w:p w14:paraId="74A60250" w14:textId="77777777" w:rsidR="008B7250" w:rsidRPr="00850CC8" w:rsidRDefault="008B7250" w:rsidP="00850CC8">
      <w:pPr>
        <w:spacing w:before="240" w:line="276" w:lineRule="auto"/>
        <w:jc w:val="both"/>
        <w:rPr>
          <w:rFonts w:ascii="Times New Roman" w:hAnsi="Times New Roman" w:cs="Times New Roman"/>
          <w:sz w:val="22"/>
          <w:szCs w:val="22"/>
        </w:rPr>
      </w:pPr>
      <w:r>
        <w:rPr>
          <w:rFonts w:ascii="Times New Roman" w:hAnsi="Times New Roman" w:cs="Times New Roman"/>
          <w:i/>
          <w:iCs/>
          <w:sz w:val="22"/>
          <w:szCs w:val="22"/>
        </w:rPr>
        <w:t>Gutiérrez, Gustavo. On Job: God-Talk and the Suffering of the Innocent.</w:t>
      </w:r>
      <w:r>
        <w:rPr>
          <w:rFonts w:ascii="Times New Roman" w:hAnsi="Times New Roman" w:cs="Times New Roman"/>
          <w:sz w:val="22"/>
          <w:szCs w:val="22"/>
        </w:rPr>
        <w:t xml:space="preserve"> Translated by Matthew J. O’Connell. Maryknoll: Orbis, 1987.</w:t>
      </w:r>
    </w:p>
    <w:p w14:paraId="1FB3B0AC" w14:textId="77777777" w:rsidR="008B7250" w:rsidRPr="00850CC8" w:rsidRDefault="008B7250" w:rsidP="00850CC8">
      <w:pPr>
        <w:spacing w:before="120" w:after="120" w:line="276" w:lineRule="auto"/>
        <w:ind w:left="720"/>
        <w:jc w:val="both"/>
        <w:rPr>
          <w:rFonts w:ascii="Times New Roman" w:hAnsi="Times New Roman" w:cs="Times New Roman"/>
          <w:sz w:val="22"/>
          <w:szCs w:val="22"/>
        </w:rPr>
      </w:pPr>
      <w:r>
        <w:rPr>
          <w:rFonts w:ascii="Times New Roman" w:hAnsi="Times New Roman" w:cs="Times New Roman"/>
          <w:sz w:val="22"/>
          <w:szCs w:val="22"/>
        </w:rPr>
        <w:t>Cited in Chapter Nine for the interpretation of the Job prologue as a cosmic demonstration. Gutiérrez’s reading emphasizes the way in which Job’s perseverance constitutes a form of disinterested faith that answers the adversary’s challenge on its own terms.</w:t>
      </w:r>
    </w:p>
    <w:p w14:paraId="4B8D88D5" w14:textId="77777777" w:rsidR="008B7250" w:rsidRPr="00850CC8" w:rsidRDefault="008B7250" w:rsidP="00850CC8">
      <w:pPr>
        <w:spacing w:before="240" w:line="276" w:lineRule="auto"/>
        <w:jc w:val="both"/>
        <w:rPr>
          <w:rFonts w:ascii="Times New Roman" w:hAnsi="Times New Roman" w:cs="Times New Roman"/>
          <w:sz w:val="22"/>
          <w:szCs w:val="22"/>
        </w:rPr>
      </w:pPr>
      <w:r>
        <w:rPr>
          <w:rFonts w:ascii="Times New Roman" w:hAnsi="Times New Roman" w:cs="Times New Roman"/>
          <w:i/>
          <w:iCs/>
          <w:sz w:val="22"/>
          <w:szCs w:val="22"/>
        </w:rPr>
        <w:t>Hauerwas, Stanley. A Community of Character: Toward a Constructive Christian Social Ethic.</w:t>
      </w:r>
      <w:r>
        <w:rPr>
          <w:rFonts w:ascii="Times New Roman" w:hAnsi="Times New Roman" w:cs="Times New Roman"/>
          <w:sz w:val="22"/>
          <w:szCs w:val="22"/>
        </w:rPr>
        <w:t xml:space="preserve"> Notre Dame: University of Notre Dame Press, 1981.</w:t>
      </w:r>
    </w:p>
    <w:p w14:paraId="0FC71EC3" w14:textId="77777777" w:rsidR="008B7250" w:rsidRPr="00850CC8" w:rsidRDefault="008B7250" w:rsidP="00850CC8">
      <w:pPr>
        <w:spacing w:before="120" w:after="120" w:line="276" w:lineRule="auto"/>
        <w:ind w:left="720"/>
        <w:jc w:val="both"/>
        <w:rPr>
          <w:rFonts w:ascii="Times New Roman" w:hAnsi="Times New Roman" w:cs="Times New Roman"/>
          <w:sz w:val="22"/>
          <w:szCs w:val="22"/>
        </w:rPr>
      </w:pPr>
      <w:r>
        <w:rPr>
          <w:rFonts w:ascii="Times New Roman" w:hAnsi="Times New Roman" w:cs="Times New Roman"/>
          <w:sz w:val="22"/>
          <w:szCs w:val="22"/>
        </w:rPr>
        <w:t>Cited in Chapters Four and the Introduction for the account of the narrative self and the communal character of moral formation. Hauerwas’s insistence that Christian ethics cannot be understood apart from the community, practices, and story within which Christian character is formed is directly relevant to the present book’s claim that the relational character of the moral life is anthropologically prior to any theoretical account of it.</w:t>
      </w:r>
    </w:p>
    <w:p w14:paraId="64F3C7F9" w14:textId="77777777" w:rsidR="008B7250" w:rsidRPr="00850CC8" w:rsidRDefault="008B7250" w:rsidP="00850CC8">
      <w:pPr>
        <w:spacing w:before="240" w:line="276" w:lineRule="auto"/>
        <w:jc w:val="both"/>
        <w:rPr>
          <w:rFonts w:ascii="Times New Roman" w:hAnsi="Times New Roman" w:cs="Times New Roman"/>
          <w:sz w:val="22"/>
          <w:szCs w:val="22"/>
        </w:rPr>
      </w:pPr>
      <w:r>
        <w:rPr>
          <w:rFonts w:ascii="Times New Roman" w:hAnsi="Times New Roman" w:cs="Times New Roman"/>
          <w:i/>
          <w:iCs/>
          <w:sz w:val="22"/>
          <w:szCs w:val="22"/>
        </w:rPr>
        <w:t>Hauerwas, Stanley. Vision and Virtue: Essays in Christian Ethical Reflection.</w:t>
      </w:r>
      <w:r>
        <w:rPr>
          <w:rFonts w:ascii="Times New Roman" w:hAnsi="Times New Roman" w:cs="Times New Roman"/>
          <w:sz w:val="22"/>
          <w:szCs w:val="22"/>
        </w:rPr>
        <w:t xml:space="preserve"> Notre Dame: Fides Publishers, 1974.</w:t>
      </w:r>
    </w:p>
    <w:p w14:paraId="774B90F1" w14:textId="77777777" w:rsidR="008B7250" w:rsidRPr="00850CC8" w:rsidRDefault="008B7250" w:rsidP="00850CC8">
      <w:pPr>
        <w:spacing w:before="120" w:after="120" w:line="276" w:lineRule="auto"/>
        <w:ind w:left="720"/>
        <w:jc w:val="both"/>
        <w:rPr>
          <w:rFonts w:ascii="Times New Roman" w:hAnsi="Times New Roman" w:cs="Times New Roman"/>
          <w:sz w:val="22"/>
          <w:szCs w:val="22"/>
        </w:rPr>
      </w:pPr>
      <w:r>
        <w:rPr>
          <w:rFonts w:ascii="Times New Roman" w:hAnsi="Times New Roman" w:cs="Times New Roman"/>
          <w:sz w:val="22"/>
          <w:szCs w:val="22"/>
        </w:rPr>
        <w:t>Cited in Chapter Four for the theological appropriation of Murdoch’s moral epistemology. Hauerwas’s early essays develop the connection between moral vision and virtue in a way directly relevant to the present book’s account of the four qualities of the moral life.</w:t>
      </w:r>
    </w:p>
    <w:p w14:paraId="29046690" w14:textId="77777777" w:rsidR="008B7250" w:rsidRPr="00850CC8" w:rsidRDefault="008B7250" w:rsidP="00850CC8">
      <w:pPr>
        <w:spacing w:before="240" w:line="276" w:lineRule="auto"/>
        <w:jc w:val="both"/>
        <w:rPr>
          <w:rFonts w:ascii="Times New Roman" w:hAnsi="Times New Roman" w:cs="Times New Roman"/>
          <w:sz w:val="22"/>
          <w:szCs w:val="22"/>
        </w:rPr>
      </w:pPr>
      <w:r>
        <w:rPr>
          <w:rFonts w:ascii="Times New Roman" w:hAnsi="Times New Roman" w:cs="Times New Roman"/>
          <w:i/>
          <w:iCs/>
          <w:sz w:val="22"/>
          <w:szCs w:val="22"/>
        </w:rPr>
        <w:t>Hays, Richard B. The Moral Vision of the New Testament: Community, Cross, New Creation.</w:t>
      </w:r>
      <w:r>
        <w:rPr>
          <w:rFonts w:ascii="Times New Roman" w:hAnsi="Times New Roman" w:cs="Times New Roman"/>
          <w:sz w:val="22"/>
          <w:szCs w:val="22"/>
        </w:rPr>
        <w:t xml:space="preserve"> San Francisco: HarperOne, 1996.</w:t>
      </w:r>
    </w:p>
    <w:p w14:paraId="28DF6347" w14:textId="77777777" w:rsidR="008B7250" w:rsidRPr="00850CC8" w:rsidRDefault="008B7250" w:rsidP="00850CC8">
      <w:pPr>
        <w:spacing w:before="120" w:after="120" w:line="276" w:lineRule="auto"/>
        <w:ind w:left="720"/>
        <w:jc w:val="both"/>
        <w:rPr>
          <w:rFonts w:ascii="Times New Roman" w:hAnsi="Times New Roman" w:cs="Times New Roman"/>
          <w:sz w:val="22"/>
          <w:szCs w:val="22"/>
        </w:rPr>
      </w:pPr>
      <w:r>
        <w:rPr>
          <w:rFonts w:ascii="Times New Roman" w:hAnsi="Times New Roman" w:cs="Times New Roman"/>
          <w:sz w:val="22"/>
          <w:szCs w:val="22"/>
        </w:rPr>
        <w:t>Cited in Chapter Three for the treatment of christological image-renewal and ethical transformation in Paul. Hays’s account of the New Testament’s moral vision, organized around the three focal images of community, cross, and new creation, provides a structural parallel to the three movements of the present book’s argument.</w:t>
      </w:r>
    </w:p>
    <w:p w14:paraId="1CF060C7" w14:textId="77777777" w:rsidR="008B7250" w:rsidRPr="00850CC8" w:rsidRDefault="008B7250" w:rsidP="00850CC8">
      <w:pPr>
        <w:spacing w:before="240" w:line="276" w:lineRule="auto"/>
        <w:jc w:val="both"/>
        <w:rPr>
          <w:rFonts w:ascii="Times New Roman" w:hAnsi="Times New Roman" w:cs="Times New Roman"/>
          <w:sz w:val="22"/>
          <w:szCs w:val="22"/>
        </w:rPr>
      </w:pPr>
      <w:r>
        <w:rPr>
          <w:rFonts w:ascii="Times New Roman" w:hAnsi="Times New Roman" w:cs="Times New Roman"/>
          <w:i/>
          <w:iCs/>
          <w:sz w:val="22"/>
          <w:szCs w:val="22"/>
        </w:rPr>
        <w:lastRenderedPageBreak/>
        <w:t>Meilaender, Gilbert. Friendship: A Study in Theological Ethics.</w:t>
      </w:r>
      <w:r>
        <w:rPr>
          <w:rFonts w:ascii="Times New Roman" w:hAnsi="Times New Roman" w:cs="Times New Roman"/>
          <w:sz w:val="22"/>
          <w:szCs w:val="22"/>
        </w:rPr>
        <w:t xml:space="preserve"> Notre Dame: University of Notre Dame Press, 1981.</w:t>
      </w:r>
    </w:p>
    <w:p w14:paraId="4CBD7ECB" w14:textId="77777777" w:rsidR="008B7250" w:rsidRPr="00850CC8" w:rsidRDefault="008B7250" w:rsidP="00850CC8">
      <w:pPr>
        <w:spacing w:before="120" w:after="120" w:line="276" w:lineRule="auto"/>
        <w:ind w:left="720"/>
        <w:jc w:val="both"/>
        <w:rPr>
          <w:rFonts w:ascii="Times New Roman" w:hAnsi="Times New Roman" w:cs="Times New Roman"/>
          <w:sz w:val="22"/>
          <w:szCs w:val="22"/>
        </w:rPr>
      </w:pPr>
      <w:r>
        <w:rPr>
          <w:rFonts w:ascii="Times New Roman" w:hAnsi="Times New Roman" w:cs="Times New Roman"/>
          <w:sz w:val="22"/>
          <w:szCs w:val="22"/>
        </w:rPr>
        <w:t>Cited in Chapter Four for the theological development of the case for special obligations. Meilaender’s treatment of friendship as a theological category, and his argument that the special obligations generated by particular relationships are among the most significant features of the moral life, is directly relevant to the present book’s claim that the relational character of ethics reflects the relational character of God.</w:t>
      </w:r>
    </w:p>
    <w:p w14:paraId="1CB61D0C" w14:textId="77777777" w:rsidR="008B7250" w:rsidRPr="00850CC8" w:rsidRDefault="008B7250" w:rsidP="00850CC8">
      <w:pPr>
        <w:spacing w:before="240" w:line="276" w:lineRule="auto"/>
        <w:jc w:val="both"/>
        <w:rPr>
          <w:rFonts w:ascii="Times New Roman" w:hAnsi="Times New Roman" w:cs="Times New Roman"/>
          <w:sz w:val="22"/>
          <w:szCs w:val="22"/>
        </w:rPr>
      </w:pPr>
      <w:r>
        <w:rPr>
          <w:rFonts w:ascii="Times New Roman" w:hAnsi="Times New Roman" w:cs="Times New Roman"/>
          <w:i/>
          <w:iCs/>
          <w:sz w:val="22"/>
          <w:szCs w:val="22"/>
        </w:rPr>
        <w:t>Noddings, Nel. Caring: A Relational Approach to Ethics and Moral Education.</w:t>
      </w:r>
      <w:r>
        <w:rPr>
          <w:rFonts w:ascii="Times New Roman" w:hAnsi="Times New Roman" w:cs="Times New Roman"/>
          <w:sz w:val="22"/>
          <w:szCs w:val="22"/>
        </w:rPr>
        <w:t xml:space="preserve"> 2nd ed. Berkeley: University of California Press, 2013.</w:t>
      </w:r>
    </w:p>
    <w:p w14:paraId="11850D09" w14:textId="77777777" w:rsidR="008B7250" w:rsidRPr="00850CC8" w:rsidRDefault="008B7250" w:rsidP="00850CC8">
      <w:pPr>
        <w:spacing w:before="120" w:after="120" w:line="276" w:lineRule="auto"/>
        <w:ind w:left="720"/>
        <w:jc w:val="both"/>
        <w:rPr>
          <w:rFonts w:ascii="Times New Roman" w:hAnsi="Times New Roman" w:cs="Times New Roman"/>
          <w:sz w:val="22"/>
          <w:szCs w:val="22"/>
        </w:rPr>
      </w:pPr>
      <w:r>
        <w:rPr>
          <w:rFonts w:ascii="Times New Roman" w:hAnsi="Times New Roman" w:cs="Times New Roman"/>
          <w:sz w:val="22"/>
          <w:szCs w:val="22"/>
        </w:rPr>
        <w:t>Cited in the Introduction as one of the voices in the broader conversation about the relational character of ethics. Noddings’s sustained philosophy of caring as the proper center of moral education represents one of the most developed secular accounts of a relational ethics, and her work provides useful context for understanding what the present book’s theological grounding adds to the insights secular relational ethics has already generated.</w:t>
      </w:r>
    </w:p>
    <w:p w14:paraId="3851C42C" w14:textId="77777777" w:rsidR="008B7250" w:rsidRPr="00850CC8" w:rsidRDefault="008B7250" w:rsidP="00850CC8">
      <w:pPr>
        <w:spacing w:before="240" w:line="276" w:lineRule="auto"/>
        <w:jc w:val="both"/>
        <w:rPr>
          <w:rFonts w:ascii="Times New Roman" w:hAnsi="Times New Roman" w:cs="Times New Roman"/>
          <w:sz w:val="22"/>
          <w:szCs w:val="22"/>
        </w:rPr>
      </w:pPr>
      <w:r>
        <w:rPr>
          <w:rFonts w:ascii="Times New Roman" w:hAnsi="Times New Roman" w:cs="Times New Roman"/>
          <w:i/>
          <w:iCs/>
          <w:sz w:val="22"/>
          <w:szCs w:val="22"/>
        </w:rPr>
        <w:t>Tutu, Desmond. No Future Without Forgiveness.</w:t>
      </w:r>
      <w:r>
        <w:rPr>
          <w:rFonts w:ascii="Times New Roman" w:hAnsi="Times New Roman" w:cs="Times New Roman"/>
          <w:sz w:val="22"/>
          <w:szCs w:val="22"/>
        </w:rPr>
        <w:t xml:space="preserve"> New York: Doubleday, 1999.</w:t>
      </w:r>
    </w:p>
    <w:p w14:paraId="33DFA4C7" w14:textId="77777777" w:rsidR="008B7250" w:rsidRPr="00850CC8" w:rsidRDefault="008B7250" w:rsidP="00850CC8">
      <w:pPr>
        <w:spacing w:before="120" w:after="120" w:line="276" w:lineRule="auto"/>
        <w:ind w:left="720"/>
        <w:jc w:val="both"/>
        <w:rPr>
          <w:rFonts w:ascii="Times New Roman" w:hAnsi="Times New Roman" w:cs="Times New Roman"/>
          <w:sz w:val="22"/>
          <w:szCs w:val="22"/>
        </w:rPr>
      </w:pPr>
      <w:r>
        <w:rPr>
          <w:rFonts w:ascii="Times New Roman" w:hAnsi="Times New Roman" w:cs="Times New Roman"/>
          <w:sz w:val="22"/>
          <w:szCs w:val="22"/>
        </w:rPr>
        <w:t>Cited in Chapter Eight for the theological foundation of the South African Truth and Reconciliation Commission. Tutu’s account of reconciliation as requiring honest acknowledgment of wrongdoing rather than amnesia, and his description of the goal of that acknowledgment as the restoration of ubuntu, the relational wholeness of persons in community, provides the most powerful practical illustration of the integrated justice account developed in Chapter Eight.</w:t>
      </w:r>
    </w:p>
    <w:p w14:paraId="25C12323" w14:textId="77777777" w:rsidR="008B7250" w:rsidRPr="00850CC8" w:rsidRDefault="008B7250" w:rsidP="00850CC8">
      <w:pPr>
        <w:spacing w:before="240" w:line="276" w:lineRule="auto"/>
        <w:jc w:val="both"/>
        <w:rPr>
          <w:rFonts w:ascii="Times New Roman" w:hAnsi="Times New Roman" w:cs="Times New Roman"/>
          <w:sz w:val="22"/>
          <w:szCs w:val="22"/>
        </w:rPr>
      </w:pPr>
      <w:r>
        <w:rPr>
          <w:rFonts w:ascii="Times New Roman" w:hAnsi="Times New Roman" w:cs="Times New Roman"/>
          <w:i/>
          <w:iCs/>
          <w:sz w:val="22"/>
          <w:szCs w:val="22"/>
        </w:rPr>
        <w:t>Volf, Miroslav. Exclusion and Embrace: A Theological Exploration of Identity, Otherness, and Reconciliation.</w:t>
      </w:r>
      <w:r>
        <w:rPr>
          <w:rFonts w:ascii="Times New Roman" w:hAnsi="Times New Roman" w:cs="Times New Roman"/>
          <w:sz w:val="22"/>
          <w:szCs w:val="22"/>
        </w:rPr>
        <w:t xml:space="preserve"> Nashville: Abingdon Press, 1996.</w:t>
      </w:r>
    </w:p>
    <w:p w14:paraId="7D6DBC12" w14:textId="77777777" w:rsidR="008B7250" w:rsidRPr="00850CC8" w:rsidRDefault="008B7250" w:rsidP="00850CC8">
      <w:pPr>
        <w:spacing w:before="120" w:after="120" w:line="276" w:lineRule="auto"/>
        <w:ind w:left="720"/>
        <w:jc w:val="both"/>
        <w:rPr>
          <w:rFonts w:ascii="Times New Roman" w:hAnsi="Times New Roman" w:cs="Times New Roman"/>
          <w:sz w:val="22"/>
          <w:szCs w:val="22"/>
        </w:rPr>
      </w:pPr>
      <w:r>
        <w:rPr>
          <w:rFonts w:ascii="Times New Roman" w:hAnsi="Times New Roman" w:cs="Times New Roman"/>
          <w:sz w:val="22"/>
          <w:szCs w:val="22"/>
        </w:rPr>
        <w:t>One of the most important works in theological ethics of the past three decades, cited in Chapters Six, Eight, and Nine. Volf’s account of the will-to-embrace as the paradigmatic posture of Christian love toward the enemy, his insistence that real embrace requires honest acknowledgment of what was done, and his distinction between forgiveness as a unilateral act and reconciliation as a bilateral achievement are all directly relevant to the present book’s argument about the relational character of justice and love.</w:t>
      </w:r>
    </w:p>
    <w:p w14:paraId="75D4EDE1" w14:textId="77777777" w:rsidR="008B7250" w:rsidRPr="00850CC8" w:rsidRDefault="008B7250" w:rsidP="00850CC8">
      <w:pPr>
        <w:spacing w:before="240" w:line="276" w:lineRule="auto"/>
        <w:jc w:val="both"/>
        <w:rPr>
          <w:rFonts w:ascii="Times New Roman" w:hAnsi="Times New Roman" w:cs="Times New Roman"/>
          <w:sz w:val="22"/>
          <w:szCs w:val="22"/>
        </w:rPr>
      </w:pPr>
      <w:r>
        <w:rPr>
          <w:rFonts w:ascii="Times New Roman" w:hAnsi="Times New Roman" w:cs="Times New Roman"/>
          <w:i/>
          <w:iCs/>
          <w:sz w:val="22"/>
          <w:szCs w:val="22"/>
        </w:rPr>
        <w:t>Wolterstorff, Nicholas. Justice: Rights and Wrongs.</w:t>
      </w:r>
      <w:r>
        <w:rPr>
          <w:rFonts w:ascii="Times New Roman" w:hAnsi="Times New Roman" w:cs="Times New Roman"/>
          <w:sz w:val="22"/>
          <w:szCs w:val="22"/>
        </w:rPr>
        <w:t xml:space="preserve"> Princeton: Princeton University Press, 2008.</w:t>
      </w:r>
    </w:p>
    <w:p w14:paraId="04B6CDF3" w14:textId="77777777" w:rsidR="008B7250" w:rsidRPr="00850CC8" w:rsidRDefault="008B7250" w:rsidP="00850CC8">
      <w:pPr>
        <w:spacing w:before="120" w:after="120" w:line="276" w:lineRule="auto"/>
        <w:ind w:left="720"/>
        <w:jc w:val="both"/>
        <w:rPr>
          <w:rFonts w:ascii="Times New Roman" w:hAnsi="Times New Roman" w:cs="Times New Roman"/>
          <w:sz w:val="22"/>
          <w:szCs w:val="22"/>
        </w:rPr>
      </w:pPr>
      <w:r>
        <w:rPr>
          <w:rFonts w:ascii="Times New Roman" w:hAnsi="Times New Roman" w:cs="Times New Roman"/>
          <w:sz w:val="22"/>
          <w:szCs w:val="22"/>
        </w:rPr>
        <w:t>Cited in Chapters Eight and the Introduction for the argument that rights are grounded in the worth of persons rather than in social contracts or utility calculations, and that the Christian theological tradition provides a more secure grounding for human rights than secular alternatives.</w:t>
      </w:r>
    </w:p>
    <w:p w14:paraId="74078478" w14:textId="77777777" w:rsidR="008B7250" w:rsidRPr="00850CC8" w:rsidRDefault="008B7250" w:rsidP="00850CC8">
      <w:pPr>
        <w:spacing w:before="240" w:line="276" w:lineRule="auto"/>
        <w:jc w:val="both"/>
        <w:rPr>
          <w:rFonts w:ascii="Times New Roman" w:hAnsi="Times New Roman" w:cs="Times New Roman"/>
          <w:sz w:val="22"/>
          <w:szCs w:val="22"/>
        </w:rPr>
      </w:pPr>
      <w:r>
        <w:rPr>
          <w:rFonts w:ascii="Times New Roman" w:hAnsi="Times New Roman" w:cs="Times New Roman"/>
          <w:i/>
          <w:iCs/>
          <w:sz w:val="22"/>
          <w:szCs w:val="22"/>
        </w:rPr>
        <w:t>Wolterstorff, Nicholas. Justice in Love.</w:t>
      </w:r>
      <w:r>
        <w:rPr>
          <w:rFonts w:ascii="Times New Roman" w:hAnsi="Times New Roman" w:cs="Times New Roman"/>
          <w:sz w:val="22"/>
          <w:szCs w:val="22"/>
        </w:rPr>
        <w:t xml:space="preserve"> Grand Rapids: Eerdmans, 2011.</w:t>
      </w:r>
    </w:p>
    <w:p w14:paraId="5F71DB57" w14:textId="77777777" w:rsidR="008B7250" w:rsidRPr="00850CC8" w:rsidRDefault="008B7250" w:rsidP="00850CC8">
      <w:pPr>
        <w:spacing w:before="120" w:after="120" w:line="276" w:lineRule="auto"/>
        <w:ind w:left="720"/>
        <w:jc w:val="both"/>
        <w:rPr>
          <w:rFonts w:ascii="Times New Roman" w:hAnsi="Times New Roman" w:cs="Times New Roman"/>
          <w:sz w:val="22"/>
          <w:szCs w:val="22"/>
        </w:rPr>
      </w:pPr>
      <w:r>
        <w:rPr>
          <w:rFonts w:ascii="Times New Roman" w:hAnsi="Times New Roman" w:cs="Times New Roman"/>
          <w:sz w:val="22"/>
          <w:szCs w:val="22"/>
        </w:rPr>
        <w:t>Cited in Chapters Eight and the Introduction for the argument that agapic love and justice are not in tension but that real love includes the insistence on justice for the wronged. Wolterstorff’s critique of “care agapism” supports the present book’s argument that both dimensions of justice flow from the same reflexive love.</w:t>
      </w:r>
    </w:p>
    <w:p w14:paraId="2DF87A3D" w14:textId="77777777" w:rsidR="008B7250" w:rsidRPr="00850CC8" w:rsidRDefault="008B7250" w:rsidP="00850CC8">
      <w:pPr>
        <w:spacing w:before="240" w:line="276" w:lineRule="auto"/>
        <w:jc w:val="both"/>
        <w:rPr>
          <w:rFonts w:ascii="Times New Roman" w:hAnsi="Times New Roman" w:cs="Times New Roman"/>
          <w:sz w:val="22"/>
          <w:szCs w:val="22"/>
        </w:rPr>
      </w:pPr>
      <w:r>
        <w:rPr>
          <w:rFonts w:ascii="Times New Roman" w:hAnsi="Times New Roman" w:cs="Times New Roman"/>
          <w:i/>
          <w:iCs/>
          <w:sz w:val="22"/>
          <w:szCs w:val="22"/>
        </w:rPr>
        <w:lastRenderedPageBreak/>
        <w:t>Zehr, Howard. Changing Lenses: Restorative Justice for Our Times.</w:t>
      </w:r>
      <w:r>
        <w:rPr>
          <w:rFonts w:ascii="Times New Roman" w:hAnsi="Times New Roman" w:cs="Times New Roman"/>
          <w:sz w:val="22"/>
          <w:szCs w:val="22"/>
        </w:rPr>
        <w:t xml:space="preserve"> 25th anniversary ed. Harrisonburg, VA: Herald Press, 2015.</w:t>
      </w:r>
    </w:p>
    <w:p w14:paraId="307643A3" w14:textId="77777777" w:rsidR="008B7250" w:rsidRPr="00850CC8" w:rsidRDefault="008B7250" w:rsidP="00850CC8">
      <w:pPr>
        <w:spacing w:before="120" w:after="120" w:line="276" w:lineRule="auto"/>
        <w:ind w:left="720"/>
        <w:jc w:val="both"/>
        <w:rPr>
          <w:rFonts w:ascii="Times New Roman" w:hAnsi="Times New Roman" w:cs="Times New Roman"/>
          <w:sz w:val="22"/>
          <w:szCs w:val="22"/>
        </w:rPr>
      </w:pPr>
      <w:r>
        <w:rPr>
          <w:rFonts w:ascii="Times New Roman" w:hAnsi="Times New Roman" w:cs="Times New Roman"/>
          <w:sz w:val="22"/>
          <w:szCs w:val="22"/>
        </w:rPr>
        <w:t>Cited in Chapter Eight for the contrast between the questions asked by conventional criminal justice and those asked by restorative justice. Zehr’s foundational work on restorative justice has shaped an entire field, and his framing of the core distinction, from “what law was broken?” to “who was harmed and what do they need?”, is the most accessible entry point into the restorative justice account that Chapter Eight engages.</w:t>
      </w:r>
    </w:p>
    <w:p w14:paraId="440D9703" w14:textId="77777777" w:rsidR="008B7250" w:rsidRPr="00850CC8" w:rsidRDefault="008B7250" w:rsidP="00850CC8">
      <w:pPr>
        <w:spacing w:before="480" w:after="240" w:line="276" w:lineRule="auto"/>
        <w:jc w:val="center"/>
        <w:rPr>
          <w:rFonts w:ascii="Times New Roman" w:hAnsi="Times New Roman" w:cs="Times New Roman"/>
          <w:sz w:val="22"/>
          <w:szCs w:val="22"/>
        </w:rPr>
      </w:pPr>
      <w:r>
        <w:rPr>
          <w:rFonts w:ascii="Times New Roman" w:hAnsi="Times New Roman" w:cs="Times New Roman"/>
          <w:b/>
          <w:bCs/>
          <w:i/>
          <w:iCs/>
          <w:sz w:val="22"/>
          <w:szCs w:val="22"/>
        </w:rPr>
        <w:t>Reformation and Patristic Studies</w:t>
      </w:r>
    </w:p>
    <w:p w14:paraId="58671CEA" w14:textId="77777777" w:rsidR="008B7250" w:rsidRPr="00850CC8" w:rsidRDefault="008B7250" w:rsidP="00850CC8">
      <w:pPr>
        <w:spacing w:before="240" w:line="276" w:lineRule="auto"/>
        <w:jc w:val="both"/>
        <w:rPr>
          <w:rFonts w:ascii="Times New Roman" w:hAnsi="Times New Roman" w:cs="Times New Roman"/>
          <w:sz w:val="22"/>
          <w:szCs w:val="22"/>
        </w:rPr>
      </w:pPr>
      <w:r>
        <w:rPr>
          <w:rFonts w:ascii="Times New Roman" w:hAnsi="Times New Roman" w:cs="Times New Roman"/>
          <w:i/>
          <w:iCs/>
          <w:sz w:val="22"/>
          <w:szCs w:val="22"/>
        </w:rPr>
        <w:t>Grenz, Stanley J. The Social God and the Relational Self: A Trinitarian Theology of the Imago Dei.</w:t>
      </w:r>
      <w:r>
        <w:rPr>
          <w:rFonts w:ascii="Times New Roman" w:hAnsi="Times New Roman" w:cs="Times New Roman"/>
          <w:sz w:val="22"/>
          <w:szCs w:val="22"/>
        </w:rPr>
        <w:t xml:space="preserve"> Louisville: Westminster John Knox, 2001.</w:t>
      </w:r>
    </w:p>
    <w:p w14:paraId="06CD1A26" w14:textId="77777777" w:rsidR="008B7250" w:rsidRPr="00850CC8" w:rsidRDefault="008B7250" w:rsidP="00850CC8">
      <w:pPr>
        <w:spacing w:before="120" w:after="120" w:line="276" w:lineRule="auto"/>
        <w:ind w:left="720"/>
        <w:jc w:val="both"/>
        <w:rPr>
          <w:rFonts w:ascii="Times New Roman" w:hAnsi="Times New Roman" w:cs="Times New Roman"/>
          <w:sz w:val="22"/>
          <w:szCs w:val="22"/>
        </w:rPr>
      </w:pPr>
      <w:r>
        <w:rPr>
          <w:rFonts w:ascii="Times New Roman" w:hAnsi="Times New Roman" w:cs="Times New Roman"/>
          <w:sz w:val="22"/>
          <w:szCs w:val="22"/>
        </w:rPr>
        <w:t>Cited in Chapter Three for the argument that the imago Dei is a relational rather than individual reality. Grenz’s sustained engagement with both the biblical material and the theological tradition, including his dialogue with Zizioulas and social Trinitarian theology, is directly relevant to the present book’s claim that the image-bearing constitution of human beings is the anthropological expression of the relational character of the triune God.</w:t>
      </w:r>
    </w:p>
    <w:p w14:paraId="0570CED1" w14:textId="77777777" w:rsidR="008B7250" w:rsidRPr="00850CC8" w:rsidRDefault="008B7250" w:rsidP="00850CC8">
      <w:pPr>
        <w:spacing w:before="240" w:line="276" w:lineRule="auto"/>
        <w:jc w:val="both"/>
        <w:rPr>
          <w:rFonts w:ascii="Times New Roman" w:hAnsi="Times New Roman" w:cs="Times New Roman"/>
          <w:sz w:val="22"/>
          <w:szCs w:val="22"/>
        </w:rPr>
      </w:pPr>
      <w:r>
        <w:rPr>
          <w:rFonts w:ascii="Times New Roman" w:hAnsi="Times New Roman" w:cs="Times New Roman"/>
          <w:i/>
          <w:iCs/>
          <w:sz w:val="22"/>
          <w:szCs w:val="22"/>
        </w:rPr>
        <w:t>Heiser, Michael S. The Unseen Realm: Recovering the Supernatural Worldview of the Bible.</w:t>
      </w:r>
      <w:r>
        <w:rPr>
          <w:rFonts w:ascii="Times New Roman" w:hAnsi="Times New Roman" w:cs="Times New Roman"/>
          <w:sz w:val="22"/>
          <w:szCs w:val="22"/>
        </w:rPr>
        <w:t xml:space="preserve"> Bellingham: Lexham Press, 2015.</w:t>
      </w:r>
    </w:p>
    <w:p w14:paraId="53BAE571" w14:textId="77777777" w:rsidR="008B7250" w:rsidRPr="00850CC8" w:rsidRDefault="008B7250" w:rsidP="00850CC8">
      <w:pPr>
        <w:spacing w:before="120" w:after="120" w:line="276" w:lineRule="auto"/>
        <w:ind w:left="720"/>
        <w:jc w:val="both"/>
        <w:rPr>
          <w:rFonts w:ascii="Times New Roman" w:hAnsi="Times New Roman" w:cs="Times New Roman"/>
          <w:sz w:val="22"/>
          <w:szCs w:val="22"/>
        </w:rPr>
      </w:pPr>
      <w:r>
        <w:rPr>
          <w:rFonts w:ascii="Times New Roman" w:hAnsi="Times New Roman" w:cs="Times New Roman"/>
          <w:sz w:val="22"/>
          <w:szCs w:val="22"/>
        </w:rPr>
        <w:t>Cited in Chapters Three, Seven, and Nine for the divine council theology and its implications for reading the conquest narratives and the cosmic scope of the church’s display of the divine wisdom. Heiser’s argument that the conquest narratives must be understood within the cosmic framework of the divine council’s rebellion supports the account in Chapter Seven.</w:t>
      </w:r>
    </w:p>
    <w:p w14:paraId="4400FEC3" w14:textId="77777777" w:rsidR="008B7250" w:rsidRPr="00850CC8" w:rsidRDefault="008B7250" w:rsidP="00850CC8">
      <w:pPr>
        <w:spacing w:before="240" w:line="276" w:lineRule="auto"/>
        <w:jc w:val="both"/>
        <w:rPr>
          <w:rFonts w:ascii="Times New Roman" w:hAnsi="Times New Roman" w:cs="Times New Roman"/>
          <w:sz w:val="22"/>
          <w:szCs w:val="22"/>
        </w:rPr>
      </w:pPr>
      <w:r>
        <w:rPr>
          <w:rFonts w:ascii="Times New Roman" w:hAnsi="Times New Roman" w:cs="Times New Roman"/>
          <w:i/>
          <w:iCs/>
          <w:sz w:val="22"/>
          <w:szCs w:val="22"/>
        </w:rPr>
        <w:t>Heiser, Michael S. Supernatural: What the Bible Teaches about the Unseen World and Why It Matters.</w:t>
      </w:r>
      <w:r>
        <w:rPr>
          <w:rFonts w:ascii="Times New Roman" w:hAnsi="Times New Roman" w:cs="Times New Roman"/>
          <w:sz w:val="22"/>
          <w:szCs w:val="22"/>
        </w:rPr>
        <w:t xml:space="preserve"> Bellingham: Lexham Press, 2015.</w:t>
      </w:r>
    </w:p>
    <w:p w14:paraId="753A4917" w14:textId="77777777" w:rsidR="008B7250" w:rsidRPr="00850CC8" w:rsidRDefault="008B7250" w:rsidP="00850CC8">
      <w:pPr>
        <w:spacing w:before="120" w:after="120" w:line="276" w:lineRule="auto"/>
        <w:ind w:left="720"/>
        <w:jc w:val="both"/>
        <w:rPr>
          <w:rFonts w:ascii="Times New Roman" w:hAnsi="Times New Roman" w:cs="Times New Roman"/>
          <w:sz w:val="22"/>
          <w:szCs w:val="22"/>
        </w:rPr>
      </w:pPr>
      <w:r>
        <w:rPr>
          <w:rFonts w:ascii="Times New Roman" w:hAnsi="Times New Roman" w:cs="Times New Roman"/>
          <w:sz w:val="22"/>
          <w:szCs w:val="22"/>
        </w:rPr>
        <w:t xml:space="preserve">Cited in Chapter Seven as a companion to </w:t>
      </w:r>
      <w:r>
        <w:rPr>
          <w:rFonts w:ascii="Times New Roman" w:hAnsi="Times New Roman" w:cs="Times New Roman"/>
          <w:i/>
          <w:iCs/>
          <w:sz w:val="22"/>
          <w:szCs w:val="22"/>
        </w:rPr>
        <w:t>The Unseen Realm</w:t>
      </w:r>
      <w:r>
        <w:rPr>
          <w:rFonts w:ascii="Times New Roman" w:hAnsi="Times New Roman" w:cs="Times New Roman"/>
          <w:sz w:val="22"/>
          <w:szCs w:val="22"/>
        </w:rPr>
        <w:t>, developing the implications of the divine council theology for the practical theological questions treated in that volume.</w:t>
      </w:r>
    </w:p>
    <w:p w14:paraId="5812F7C8" w14:textId="77777777" w:rsidR="008B7250" w:rsidRPr="00850CC8" w:rsidRDefault="008B7250" w:rsidP="00850CC8">
      <w:pPr>
        <w:spacing w:before="240" w:line="276" w:lineRule="auto"/>
        <w:jc w:val="both"/>
        <w:rPr>
          <w:rFonts w:ascii="Times New Roman" w:hAnsi="Times New Roman" w:cs="Times New Roman"/>
          <w:sz w:val="22"/>
          <w:szCs w:val="22"/>
        </w:rPr>
      </w:pPr>
      <w:r>
        <w:rPr>
          <w:rFonts w:ascii="Times New Roman" w:hAnsi="Times New Roman" w:cs="Times New Roman"/>
          <w:i/>
          <w:iCs/>
          <w:sz w:val="22"/>
          <w:szCs w:val="22"/>
        </w:rPr>
        <w:t>Kilner, John F. Dignity and Destiny: Humanity in the Image of God.</w:t>
      </w:r>
      <w:r>
        <w:rPr>
          <w:rFonts w:ascii="Times New Roman" w:hAnsi="Times New Roman" w:cs="Times New Roman"/>
          <w:sz w:val="22"/>
          <w:szCs w:val="22"/>
        </w:rPr>
        <w:t xml:space="preserve"> Grand Rapids: Eerdmans, 2015.</w:t>
      </w:r>
    </w:p>
    <w:p w14:paraId="6AB89A61" w14:textId="77777777" w:rsidR="008B7250" w:rsidRPr="00850CC8" w:rsidRDefault="008B7250" w:rsidP="00850CC8">
      <w:pPr>
        <w:spacing w:before="120" w:after="120" w:line="276" w:lineRule="auto"/>
        <w:ind w:left="720"/>
        <w:jc w:val="both"/>
        <w:rPr>
          <w:rFonts w:ascii="Times New Roman" w:hAnsi="Times New Roman" w:cs="Times New Roman"/>
          <w:sz w:val="22"/>
          <w:szCs w:val="22"/>
        </w:rPr>
      </w:pPr>
      <w:r>
        <w:rPr>
          <w:rFonts w:ascii="Times New Roman" w:hAnsi="Times New Roman" w:cs="Times New Roman"/>
          <w:sz w:val="22"/>
          <w:szCs w:val="22"/>
        </w:rPr>
        <w:t>Cited in Chapter Three for the response to Middleton that seeks to hold functional and structural dimensions of the imago Dei together. Kilner’s careful treatment of the full range of texts bearing on the image of God is one of the most thorough evangelical treatments of the subject.</w:t>
      </w:r>
    </w:p>
    <w:p w14:paraId="47077C90" w14:textId="77777777" w:rsidR="008B7250" w:rsidRPr="00850CC8" w:rsidRDefault="008B7250" w:rsidP="00850CC8">
      <w:pPr>
        <w:spacing w:before="240" w:line="276" w:lineRule="auto"/>
        <w:jc w:val="both"/>
        <w:rPr>
          <w:rFonts w:ascii="Times New Roman" w:hAnsi="Times New Roman" w:cs="Times New Roman"/>
          <w:sz w:val="22"/>
          <w:szCs w:val="22"/>
        </w:rPr>
      </w:pPr>
      <w:r>
        <w:rPr>
          <w:rFonts w:ascii="Times New Roman" w:hAnsi="Times New Roman" w:cs="Times New Roman"/>
          <w:i/>
          <w:iCs/>
          <w:sz w:val="22"/>
          <w:szCs w:val="22"/>
        </w:rPr>
        <w:t>Middleton, J. Richard. The Liberating Image: The Imago Dei in Genesis 1.</w:t>
      </w:r>
      <w:r>
        <w:rPr>
          <w:rFonts w:ascii="Times New Roman" w:hAnsi="Times New Roman" w:cs="Times New Roman"/>
          <w:sz w:val="22"/>
          <w:szCs w:val="22"/>
        </w:rPr>
        <w:t xml:space="preserve"> Grand Rapids: Brazos Press, 2005.</w:t>
      </w:r>
    </w:p>
    <w:p w14:paraId="05428DC9" w14:textId="77777777" w:rsidR="008B7250" w:rsidRPr="00850CC8" w:rsidRDefault="008B7250" w:rsidP="00850CC8">
      <w:pPr>
        <w:spacing w:before="120" w:after="120" w:line="276" w:lineRule="auto"/>
        <w:ind w:left="720"/>
        <w:jc w:val="both"/>
        <w:rPr>
          <w:rFonts w:ascii="Times New Roman" w:hAnsi="Times New Roman" w:cs="Times New Roman"/>
          <w:sz w:val="22"/>
          <w:szCs w:val="22"/>
        </w:rPr>
      </w:pPr>
      <w:r>
        <w:rPr>
          <w:rFonts w:ascii="Times New Roman" w:hAnsi="Times New Roman" w:cs="Times New Roman"/>
          <w:sz w:val="22"/>
          <w:szCs w:val="22"/>
        </w:rPr>
        <w:t>Cited in Chapter Three for the royal-functional interpretation of the imago Dei and the ancient Near Eastern background for the image language. Middleton’s survey of the relevant ancient Near Eastern evidence is thorough and widely accepted, and his argument for the “royal-functional” interpretation has shaped subsequent evangelical discussion of the imago. Chapter Three holds his functional reading alongside Grenz’s relational emphasis rather than treating them as alternatives.</w:t>
      </w:r>
    </w:p>
    <w:p w14:paraId="654619F4" w14:textId="77777777" w:rsidR="008B7250" w:rsidRPr="00850CC8" w:rsidRDefault="008B7250" w:rsidP="00850CC8">
      <w:pPr>
        <w:spacing w:before="240" w:line="276" w:lineRule="auto"/>
        <w:jc w:val="both"/>
        <w:rPr>
          <w:rFonts w:ascii="Times New Roman" w:hAnsi="Times New Roman" w:cs="Times New Roman"/>
          <w:sz w:val="22"/>
          <w:szCs w:val="22"/>
        </w:rPr>
      </w:pPr>
      <w:r>
        <w:rPr>
          <w:rFonts w:ascii="Times New Roman" w:hAnsi="Times New Roman" w:cs="Times New Roman"/>
          <w:i/>
          <w:iCs/>
          <w:sz w:val="22"/>
          <w:szCs w:val="22"/>
        </w:rPr>
        <w:lastRenderedPageBreak/>
        <w:t>Schindler, David L. Heart of the World, Center of the Church: Communio Ecclesiology, Liberalism, and Liberation.</w:t>
      </w:r>
      <w:r>
        <w:rPr>
          <w:rFonts w:ascii="Times New Roman" w:hAnsi="Times New Roman" w:cs="Times New Roman"/>
          <w:sz w:val="22"/>
          <w:szCs w:val="22"/>
        </w:rPr>
        <w:t xml:space="preserve"> Grand Rapids: Eerdmans, 1996.</w:t>
      </w:r>
    </w:p>
    <w:p w14:paraId="4D5E9FD9" w14:textId="77777777" w:rsidR="008B7250" w:rsidRPr="00850CC8" w:rsidRDefault="008B7250" w:rsidP="00850CC8">
      <w:pPr>
        <w:spacing w:before="120" w:after="120" w:line="276" w:lineRule="auto"/>
        <w:ind w:left="720"/>
        <w:jc w:val="both"/>
        <w:rPr>
          <w:rFonts w:ascii="Times New Roman" w:hAnsi="Times New Roman" w:cs="Times New Roman"/>
          <w:sz w:val="22"/>
          <w:szCs w:val="22"/>
        </w:rPr>
      </w:pPr>
      <w:r>
        <w:rPr>
          <w:rFonts w:ascii="Times New Roman" w:hAnsi="Times New Roman" w:cs="Times New Roman"/>
          <w:sz w:val="22"/>
          <w:szCs w:val="22"/>
        </w:rPr>
        <w:t>Cited in Chapter Three for a development of the argument about the social complexity of the Trinity and its implications for human community from a Catholic perspective. Schindler’s communio theology provides a complementary account of the connection between the Trinitarian social life and human social existence.</w:t>
      </w:r>
    </w:p>
    <w:p w14:paraId="42272B7D" w14:textId="77777777" w:rsidR="008B7250" w:rsidRPr="00850CC8" w:rsidRDefault="008B7250" w:rsidP="00850CC8">
      <w:pPr>
        <w:spacing w:before="480" w:after="240" w:line="276" w:lineRule="auto"/>
        <w:jc w:val="center"/>
        <w:rPr>
          <w:rFonts w:ascii="Times New Roman" w:hAnsi="Times New Roman" w:cs="Times New Roman"/>
          <w:sz w:val="22"/>
          <w:szCs w:val="22"/>
        </w:rPr>
      </w:pPr>
      <w:r>
        <w:rPr>
          <w:rFonts w:ascii="Times New Roman" w:hAnsi="Times New Roman" w:cs="Times New Roman"/>
          <w:b/>
          <w:bCs/>
          <w:i/>
          <w:iCs/>
          <w:sz w:val="22"/>
          <w:szCs w:val="22"/>
        </w:rPr>
        <w:t>Additional Works</w:t>
      </w:r>
    </w:p>
    <w:p w14:paraId="73BC2436" w14:textId="77777777" w:rsidR="008B7250" w:rsidRPr="00850CC8" w:rsidRDefault="008B7250" w:rsidP="00850CC8">
      <w:pPr>
        <w:spacing w:before="240" w:line="276" w:lineRule="auto"/>
        <w:jc w:val="both"/>
        <w:rPr>
          <w:rFonts w:ascii="Times New Roman" w:hAnsi="Times New Roman" w:cs="Times New Roman"/>
          <w:sz w:val="22"/>
          <w:szCs w:val="22"/>
        </w:rPr>
      </w:pPr>
      <w:r>
        <w:rPr>
          <w:rFonts w:ascii="Times New Roman" w:hAnsi="Times New Roman" w:cs="Times New Roman"/>
          <w:i/>
          <w:iCs/>
          <w:sz w:val="22"/>
          <w:szCs w:val="22"/>
        </w:rPr>
        <w:t>Bultmann, Rudolf. Theology of the New Testament.</w:t>
      </w:r>
      <w:r>
        <w:rPr>
          <w:rFonts w:ascii="Times New Roman" w:hAnsi="Times New Roman" w:cs="Times New Roman"/>
          <w:sz w:val="22"/>
          <w:szCs w:val="22"/>
        </w:rPr>
        <w:t xml:space="preserve"> Translated by Kendrick Grobel. 2 vols. New York: Scribner’s, 1951–55.</w:t>
      </w:r>
    </w:p>
    <w:p w14:paraId="13C6289A" w14:textId="77777777" w:rsidR="008B7250" w:rsidRPr="00850CC8" w:rsidRDefault="008B7250" w:rsidP="00850CC8">
      <w:pPr>
        <w:spacing w:before="120" w:after="120" w:line="276" w:lineRule="auto"/>
        <w:ind w:left="720"/>
        <w:jc w:val="both"/>
        <w:rPr>
          <w:rFonts w:ascii="Times New Roman" w:hAnsi="Times New Roman" w:cs="Times New Roman"/>
          <w:sz w:val="22"/>
          <w:szCs w:val="22"/>
        </w:rPr>
      </w:pPr>
      <w:r>
        <w:rPr>
          <w:rFonts w:ascii="Times New Roman" w:hAnsi="Times New Roman" w:cs="Times New Roman"/>
          <w:sz w:val="22"/>
          <w:szCs w:val="22"/>
        </w:rPr>
        <w:t>Cited in Chapter Five for the analysis of the Pauline indicative-imperative pattern. Bultmann’s formulation of the pattern as “become what you are” has become the standard shorthand for the structural observation that Paul’s ethical imperatives are grounded in the indicative of what God has already accomplished in Christ. The present book appropriates the structural observation while questioning the existentialist framework in which Bultmann embeds it.</w:t>
      </w:r>
    </w:p>
    <w:p w14:paraId="34104E86" w14:textId="77777777" w:rsidR="008B7250" w:rsidRPr="00850CC8" w:rsidRDefault="008B7250" w:rsidP="00850CC8">
      <w:pPr>
        <w:spacing w:before="240" w:line="276" w:lineRule="auto"/>
        <w:jc w:val="both"/>
        <w:rPr>
          <w:rFonts w:ascii="Times New Roman" w:hAnsi="Times New Roman" w:cs="Times New Roman"/>
          <w:sz w:val="22"/>
          <w:szCs w:val="22"/>
        </w:rPr>
      </w:pPr>
      <w:r>
        <w:rPr>
          <w:rFonts w:ascii="Times New Roman" w:hAnsi="Times New Roman" w:cs="Times New Roman"/>
          <w:i/>
          <w:iCs/>
          <w:sz w:val="22"/>
          <w:szCs w:val="22"/>
        </w:rPr>
        <w:t>Lewis, C. S. Reflections on the Psalms.</w:t>
      </w:r>
      <w:r>
        <w:rPr>
          <w:rFonts w:ascii="Times New Roman" w:hAnsi="Times New Roman" w:cs="Times New Roman"/>
          <w:sz w:val="22"/>
          <w:szCs w:val="22"/>
        </w:rPr>
        <w:t xml:space="preserve"> New York: Harcourt, 1958.</w:t>
      </w:r>
    </w:p>
    <w:p w14:paraId="70A13575" w14:textId="77777777" w:rsidR="008B7250" w:rsidRPr="00850CC8" w:rsidRDefault="008B7250" w:rsidP="00850CC8">
      <w:pPr>
        <w:spacing w:before="120" w:after="120" w:line="276" w:lineRule="auto"/>
        <w:ind w:left="720"/>
        <w:jc w:val="both"/>
        <w:rPr>
          <w:rFonts w:ascii="Times New Roman" w:hAnsi="Times New Roman" w:cs="Times New Roman"/>
          <w:sz w:val="22"/>
          <w:szCs w:val="22"/>
        </w:rPr>
      </w:pPr>
      <w:r>
        <w:rPr>
          <w:rFonts w:ascii="Times New Roman" w:hAnsi="Times New Roman" w:cs="Times New Roman"/>
          <w:sz w:val="22"/>
          <w:szCs w:val="22"/>
        </w:rPr>
        <w:t>Cited in Chapter Nine for the observation that the connection between the two halves of Psalm 19 is not incidental but essential to its argument. Lewis’s brief treatment of the psalm captures with characteristic clarity the theological significance of the psalm’s structural unity as a display of the same divine character in both natural and moral registers.</w:t>
      </w:r>
    </w:p>
    <w:p w14:paraId="738CADFB" w14:textId="77777777" w:rsidR="008B7250" w:rsidRPr="00850CC8" w:rsidRDefault="008B7250" w:rsidP="00850CC8">
      <w:pPr>
        <w:spacing w:before="240" w:line="276" w:lineRule="auto"/>
        <w:jc w:val="both"/>
        <w:rPr>
          <w:rFonts w:ascii="Times New Roman" w:hAnsi="Times New Roman" w:cs="Times New Roman"/>
          <w:sz w:val="22"/>
          <w:szCs w:val="22"/>
        </w:rPr>
      </w:pPr>
      <w:r>
        <w:rPr>
          <w:rFonts w:ascii="Times New Roman" w:hAnsi="Times New Roman" w:cs="Times New Roman"/>
          <w:i/>
          <w:iCs/>
          <w:sz w:val="22"/>
          <w:szCs w:val="22"/>
        </w:rPr>
        <w:t>Wright, N. T. After You Believe: Why Christian Character Matters.</w:t>
      </w:r>
      <w:r>
        <w:rPr>
          <w:rFonts w:ascii="Times New Roman" w:hAnsi="Times New Roman" w:cs="Times New Roman"/>
          <w:sz w:val="22"/>
          <w:szCs w:val="22"/>
        </w:rPr>
        <w:t xml:space="preserve"> San Francisco: HarperOne, 2010.</w:t>
      </w:r>
    </w:p>
    <w:p w14:paraId="76FB6659" w14:textId="77777777" w:rsidR="008B7250" w:rsidRPr="00850CC8" w:rsidRDefault="008B7250" w:rsidP="00850CC8">
      <w:pPr>
        <w:spacing w:before="120" w:after="120" w:line="276" w:lineRule="auto"/>
        <w:ind w:left="720"/>
        <w:jc w:val="both"/>
        <w:rPr>
          <w:rFonts w:ascii="Times New Roman" w:hAnsi="Times New Roman" w:cs="Times New Roman"/>
          <w:sz w:val="22"/>
          <w:szCs w:val="22"/>
        </w:rPr>
      </w:pPr>
      <w:r>
        <w:rPr>
          <w:rFonts w:ascii="Times New Roman" w:hAnsi="Times New Roman" w:cs="Times New Roman"/>
          <w:sz w:val="22"/>
          <w:szCs w:val="22"/>
        </w:rPr>
        <w:t>Cited in Chapter Nine for the extended treatment of the human vocation in the new creation. Wright’s account of virtue as the formation of the character appropriate to the eschatological identity of the people of God, and his consistent distinction between the performance model and the vocation model of ethics, provides important support for Chapter Nine’s argument about the doxological character of the moral life.</w:t>
      </w:r>
    </w:p>
    <w:p w14:paraId="25926164" w14:textId="77777777" w:rsidR="008B7250" w:rsidRPr="00850CC8" w:rsidRDefault="008B7250" w:rsidP="00850CC8">
      <w:pPr>
        <w:spacing w:before="240" w:line="276" w:lineRule="auto"/>
        <w:jc w:val="both"/>
        <w:rPr>
          <w:rFonts w:ascii="Times New Roman" w:hAnsi="Times New Roman" w:cs="Times New Roman"/>
          <w:sz w:val="22"/>
          <w:szCs w:val="22"/>
        </w:rPr>
      </w:pPr>
      <w:r>
        <w:rPr>
          <w:rFonts w:ascii="Times New Roman" w:hAnsi="Times New Roman" w:cs="Times New Roman"/>
          <w:i/>
          <w:iCs/>
          <w:sz w:val="22"/>
          <w:szCs w:val="22"/>
        </w:rPr>
        <w:t>Wright, N. T. The Day the Revolution Began: Reconsidering the Meaning of Jesus’s Crucifixion.</w:t>
      </w:r>
      <w:r>
        <w:rPr>
          <w:rFonts w:ascii="Times New Roman" w:hAnsi="Times New Roman" w:cs="Times New Roman"/>
          <w:sz w:val="22"/>
          <w:szCs w:val="22"/>
        </w:rPr>
        <w:t xml:space="preserve"> San Francisco: HarperOne, 2016.</w:t>
      </w:r>
    </w:p>
    <w:p w14:paraId="7BAEF2F2" w14:textId="77777777" w:rsidR="008B7250" w:rsidRPr="00850CC8" w:rsidRDefault="008B7250" w:rsidP="00850CC8">
      <w:pPr>
        <w:spacing w:before="120" w:after="120" w:line="276" w:lineRule="auto"/>
        <w:ind w:left="720"/>
        <w:jc w:val="both"/>
        <w:rPr>
          <w:rFonts w:ascii="Times New Roman" w:hAnsi="Times New Roman" w:cs="Times New Roman"/>
          <w:sz w:val="22"/>
          <w:szCs w:val="22"/>
        </w:rPr>
      </w:pPr>
      <w:r>
        <w:rPr>
          <w:rFonts w:ascii="Times New Roman" w:hAnsi="Times New Roman" w:cs="Times New Roman"/>
          <w:sz w:val="22"/>
          <w:szCs w:val="22"/>
        </w:rPr>
        <w:t>Cited in Chapter Three for the development of the temple-image connection and the renewal of the image in Christ. Wright’s account of the crucifixion as the fulfillment of the vocation of Israel and of humanity as image-bearing covenant partner is directly relevant to Chapter Three’s claim that Christ is the true image-bearer whose renewal of the image is the ground of the ethical transformation to which image-bearing creatures are called.</w:t>
      </w:r>
    </w:p>
    <w:p w14:paraId="01AB21E8" w14:textId="77777777" w:rsidR="008B7250" w:rsidRPr="00850CC8" w:rsidRDefault="008B7250" w:rsidP="00850CC8">
      <w:pPr>
        <w:spacing w:before="240" w:line="276" w:lineRule="auto"/>
        <w:jc w:val="both"/>
        <w:rPr>
          <w:rFonts w:ascii="Times New Roman" w:hAnsi="Times New Roman" w:cs="Times New Roman"/>
          <w:sz w:val="22"/>
          <w:szCs w:val="22"/>
        </w:rPr>
      </w:pPr>
      <w:r>
        <w:rPr>
          <w:rFonts w:ascii="Times New Roman" w:hAnsi="Times New Roman" w:cs="Times New Roman"/>
          <w:i/>
          <w:iCs/>
          <w:sz w:val="22"/>
          <w:szCs w:val="22"/>
        </w:rPr>
        <w:t>Wright, N. T. Paul and the Faithfulness of God.</w:t>
      </w:r>
      <w:r>
        <w:rPr>
          <w:rFonts w:ascii="Times New Roman" w:hAnsi="Times New Roman" w:cs="Times New Roman"/>
          <w:sz w:val="22"/>
          <w:szCs w:val="22"/>
        </w:rPr>
        <w:t xml:space="preserve"> 2 vols. Minneapolis: Fortress, 2013.</w:t>
      </w:r>
    </w:p>
    <w:p w14:paraId="1D407BA7" w14:textId="77777777" w:rsidR="008B7250" w:rsidRPr="00850CC8" w:rsidRDefault="008B7250" w:rsidP="00850CC8">
      <w:pPr>
        <w:spacing w:before="120" w:after="120" w:line="276" w:lineRule="auto"/>
        <w:ind w:left="720"/>
        <w:jc w:val="both"/>
        <w:rPr>
          <w:rFonts w:ascii="Times New Roman" w:hAnsi="Times New Roman" w:cs="Times New Roman"/>
          <w:sz w:val="22"/>
          <w:szCs w:val="22"/>
        </w:rPr>
      </w:pPr>
      <w:r>
        <w:rPr>
          <w:rFonts w:ascii="Times New Roman" w:hAnsi="Times New Roman" w:cs="Times New Roman"/>
          <w:sz w:val="22"/>
          <w:szCs w:val="22"/>
        </w:rPr>
        <w:t>Cited in Chapters Three and Nine for the treatment of christological image-renewal in Paul and the cosmic scope of the Pauline mission. Wright’s massive study of Paul is the most comprehensive recent treatment of Pauline theology available.</w:t>
      </w:r>
    </w:p>
    <w:p w14:paraId="4DD47C41" w14:textId="77777777" w:rsidR="008B7250" w:rsidRPr="00850CC8" w:rsidRDefault="008B7250" w:rsidP="00850CC8">
      <w:pPr>
        <w:spacing w:before="240" w:line="276" w:lineRule="auto"/>
        <w:jc w:val="both"/>
        <w:rPr>
          <w:rFonts w:ascii="Times New Roman" w:hAnsi="Times New Roman" w:cs="Times New Roman"/>
          <w:sz w:val="22"/>
          <w:szCs w:val="22"/>
        </w:rPr>
      </w:pPr>
      <w:r>
        <w:rPr>
          <w:rFonts w:ascii="Times New Roman" w:hAnsi="Times New Roman" w:cs="Times New Roman"/>
          <w:i/>
          <w:iCs/>
          <w:sz w:val="22"/>
          <w:szCs w:val="22"/>
        </w:rPr>
        <w:lastRenderedPageBreak/>
        <w:t>Wright, N. T. Surprised by Hope: Rethinking Heaven, the Resurrection, and the Mission of the Church.</w:t>
      </w:r>
      <w:r>
        <w:rPr>
          <w:rFonts w:ascii="Times New Roman" w:hAnsi="Times New Roman" w:cs="Times New Roman"/>
          <w:sz w:val="22"/>
          <w:szCs w:val="22"/>
        </w:rPr>
        <w:t xml:space="preserve"> San Francisco: HarperOne, 2008.</w:t>
      </w:r>
    </w:p>
    <w:p w14:paraId="6BAF9823" w14:textId="77777777" w:rsidR="008B7250" w:rsidRPr="00850CC8" w:rsidRDefault="008B7250" w:rsidP="00850CC8">
      <w:pPr>
        <w:spacing w:before="120" w:after="120" w:line="276" w:lineRule="auto"/>
        <w:ind w:left="720"/>
        <w:jc w:val="both"/>
        <w:rPr>
          <w:rFonts w:ascii="Times New Roman" w:hAnsi="Times New Roman" w:cs="Times New Roman"/>
          <w:sz w:val="22"/>
          <w:szCs w:val="22"/>
        </w:rPr>
      </w:pPr>
      <w:r>
        <w:rPr>
          <w:rFonts w:ascii="Times New Roman" w:hAnsi="Times New Roman" w:cs="Times New Roman"/>
          <w:sz w:val="22"/>
          <w:szCs w:val="22"/>
        </w:rPr>
        <w:t>Cited in Chapter Nine for the account of the human vocation in the new creation. Wright’s argument that the resurrection of Jesus is the beginning of the new creation rather than an escape from the material order is directly relevant to the present book’s eschatological account of the moral life as oriented toward a completion that the resurrection has both inaugurated and guaranteed.</w:t>
      </w:r>
    </w:p>
    <w:p w14:paraId="4DB52191" w14:textId="77777777" w:rsidR="00B12FCF" w:rsidRDefault="00B12FCF" w:rsidP="008E3E75">
      <w:pPr>
        <w:spacing w:after="120" w:line="276" w:lineRule="auto"/>
        <w:ind w:left="360" w:hanging="360"/>
        <w:rPr>
          <w:rFonts w:ascii="Times New Roman" w:hAnsi="Times New Roman" w:cs="Times New Roman"/>
          <w:sz w:val="22"/>
          <w:szCs w:val="22"/>
        </w:rPr>
      </w:pPr>
    </w:p>
    <w:p w14:paraId="11128F80" w14:textId="77777777" w:rsidR="00274A73" w:rsidRPr="008E3E75" w:rsidRDefault="00274A73" w:rsidP="008E3E75">
      <w:pPr>
        <w:spacing w:after="120" w:line="276" w:lineRule="auto"/>
        <w:ind w:left="360" w:hanging="360"/>
        <w:rPr>
          <w:rFonts w:ascii="Times New Roman" w:hAnsi="Times New Roman" w:cs="Times New Roman"/>
          <w:sz w:val="22"/>
          <w:szCs w:val="22"/>
        </w:rPr>
      </w:pPr>
    </w:p>
    <w:sectPr w:rsidR="00274A73" w:rsidRPr="008E3E75" w:rsidSect="00DE0C52">
      <w:footerReference w:type="default" r:id="rId9"/>
      <w:pgSz w:w="12240" w:h="15840"/>
      <w:pgMar w:top="1440" w:right="1440" w:bottom="1440" w:left="1440" w:header="708" w:footer="708"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B48C6" w14:textId="77777777" w:rsidR="008E3497" w:rsidRDefault="008E3497" w:rsidP="008E3E75">
      <w:r>
        <w:separator/>
      </w:r>
    </w:p>
  </w:endnote>
  <w:endnote w:type="continuationSeparator" w:id="0">
    <w:p w14:paraId="745FFC64" w14:textId="77777777" w:rsidR="008E3497" w:rsidRDefault="008E3497" w:rsidP="008E3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2093465"/>
      <w:docPartObj>
        <w:docPartGallery w:val="Page Numbers (Bottom of Page)"/>
        <w:docPartUnique/>
      </w:docPartObj>
    </w:sdtPr>
    <w:sdtEndPr>
      <w:rPr>
        <w:noProof/>
      </w:rPr>
    </w:sdtEndPr>
    <w:sdtContent>
      <w:p w14:paraId="798A2BD6" w14:textId="155B23EC" w:rsidR="008E3E75" w:rsidRDefault="008E3E7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83E8B1F" w14:textId="77777777" w:rsidR="008E3E75" w:rsidRDefault="008E3E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CF791" w14:textId="77777777" w:rsidR="008E3497" w:rsidRDefault="008E3497" w:rsidP="008E3E75">
      <w:r>
        <w:separator/>
      </w:r>
    </w:p>
  </w:footnote>
  <w:footnote w:type="continuationSeparator" w:id="0">
    <w:p w14:paraId="123B8CE3" w14:textId="77777777" w:rsidR="008E3497" w:rsidRDefault="008E3497" w:rsidP="008E3E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E37830"/>
    <w:multiLevelType w:val="hybridMultilevel"/>
    <w:tmpl w:val="D0526B30"/>
    <w:lvl w:ilvl="0" w:tplc="6F9C0CE2">
      <w:start w:val="1"/>
      <w:numFmt w:val="bullet"/>
      <w:lvlText w:val="●"/>
      <w:lvlJc w:val="left"/>
      <w:pPr>
        <w:ind w:left="720" w:hanging="360"/>
      </w:pPr>
    </w:lvl>
    <w:lvl w:ilvl="1" w:tplc="A1584D46">
      <w:start w:val="1"/>
      <w:numFmt w:val="bullet"/>
      <w:lvlText w:val="○"/>
      <w:lvlJc w:val="left"/>
      <w:pPr>
        <w:ind w:left="1440" w:hanging="360"/>
      </w:pPr>
    </w:lvl>
    <w:lvl w:ilvl="2" w:tplc="ECD415F2">
      <w:start w:val="1"/>
      <w:numFmt w:val="bullet"/>
      <w:lvlText w:val="■"/>
      <w:lvlJc w:val="left"/>
      <w:pPr>
        <w:ind w:left="2160" w:hanging="360"/>
      </w:pPr>
    </w:lvl>
    <w:lvl w:ilvl="3" w:tplc="3AB6C934">
      <w:start w:val="1"/>
      <w:numFmt w:val="bullet"/>
      <w:lvlText w:val="●"/>
      <w:lvlJc w:val="left"/>
      <w:pPr>
        <w:ind w:left="2880" w:hanging="360"/>
      </w:pPr>
    </w:lvl>
    <w:lvl w:ilvl="4" w:tplc="7326FCF8">
      <w:start w:val="1"/>
      <w:numFmt w:val="bullet"/>
      <w:lvlText w:val="○"/>
      <w:lvlJc w:val="left"/>
      <w:pPr>
        <w:ind w:left="3600" w:hanging="360"/>
      </w:pPr>
    </w:lvl>
    <w:lvl w:ilvl="5" w:tplc="5F48BD12">
      <w:start w:val="1"/>
      <w:numFmt w:val="bullet"/>
      <w:lvlText w:val="■"/>
      <w:lvlJc w:val="left"/>
      <w:pPr>
        <w:ind w:left="4320" w:hanging="360"/>
      </w:pPr>
    </w:lvl>
    <w:lvl w:ilvl="6" w:tplc="122EE678">
      <w:start w:val="1"/>
      <w:numFmt w:val="bullet"/>
      <w:lvlText w:val="●"/>
      <w:lvlJc w:val="left"/>
      <w:pPr>
        <w:ind w:left="5040" w:hanging="360"/>
      </w:pPr>
    </w:lvl>
    <w:lvl w:ilvl="7" w:tplc="2FB0FBCC">
      <w:start w:val="1"/>
      <w:numFmt w:val="bullet"/>
      <w:lvlText w:val="●"/>
      <w:lvlJc w:val="left"/>
      <w:pPr>
        <w:ind w:left="5760" w:hanging="360"/>
      </w:pPr>
    </w:lvl>
    <w:lvl w:ilvl="8" w:tplc="690087F4">
      <w:start w:val="1"/>
      <w:numFmt w:val="bullet"/>
      <w:lvlText w:val="●"/>
      <w:lvlJc w:val="left"/>
      <w:pPr>
        <w:ind w:left="6480" w:hanging="360"/>
      </w:pPr>
    </w:lvl>
  </w:abstractNum>
  <w:num w:numId="1" w16cid:durableId="133256298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905"/>
    <w:rsid w:val="00005F4F"/>
    <w:rsid w:val="0006756D"/>
    <w:rsid w:val="00175708"/>
    <w:rsid w:val="00274A73"/>
    <w:rsid w:val="002A63A2"/>
    <w:rsid w:val="002C7268"/>
    <w:rsid w:val="00311B88"/>
    <w:rsid w:val="0036118E"/>
    <w:rsid w:val="003C4F15"/>
    <w:rsid w:val="00473A39"/>
    <w:rsid w:val="00551905"/>
    <w:rsid w:val="00634538"/>
    <w:rsid w:val="007F7920"/>
    <w:rsid w:val="00804355"/>
    <w:rsid w:val="00850CC8"/>
    <w:rsid w:val="008910E5"/>
    <w:rsid w:val="008B7250"/>
    <w:rsid w:val="008E3497"/>
    <w:rsid w:val="008E3E75"/>
    <w:rsid w:val="009A097A"/>
    <w:rsid w:val="00B12FCF"/>
    <w:rsid w:val="00CA4B28"/>
    <w:rsid w:val="00D33010"/>
    <w:rsid w:val="00D445AD"/>
    <w:rsid w:val="00D90EB8"/>
    <w:rsid w:val="00DE0C52"/>
    <w:rsid w:val="00ED3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FA19C"/>
  <w15:docId w15:val="{14267924-6B79-4E04-AADE-11B07AD6E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link w:val="Heading1Char"/>
    <w:uiPriority w:val="9"/>
    <w:qFormat/>
    <w:pPr>
      <w:spacing w:after="240"/>
      <w:outlineLvl w:val="0"/>
    </w:pPr>
    <w:rPr>
      <w:b/>
      <w:bCs/>
      <w:color w:val="1A1A1A"/>
      <w:sz w:val="36"/>
      <w:szCs w:val="36"/>
    </w:rPr>
  </w:style>
  <w:style w:type="paragraph" w:styleId="Heading2">
    <w:name w:val="heading 2"/>
    <w:link w:val="Heading2Char"/>
    <w:uiPriority w:val="9"/>
    <w:unhideWhenUsed/>
    <w:qFormat/>
    <w:pPr>
      <w:spacing w:before="320" w:after="160"/>
      <w:outlineLvl w:val="1"/>
    </w:pPr>
    <w:rPr>
      <w:b/>
      <w:bCs/>
      <w:color w:val="1A1A1A"/>
      <w:sz w:val="28"/>
      <w:szCs w:val="28"/>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8E3E75"/>
    <w:pPr>
      <w:tabs>
        <w:tab w:val="center" w:pos="4680"/>
        <w:tab w:val="right" w:pos="9360"/>
      </w:tabs>
    </w:pPr>
  </w:style>
  <w:style w:type="character" w:customStyle="1" w:styleId="HeaderChar">
    <w:name w:val="Header Char"/>
    <w:basedOn w:val="DefaultParagraphFont"/>
    <w:link w:val="Header"/>
    <w:uiPriority w:val="99"/>
    <w:rsid w:val="008E3E75"/>
  </w:style>
  <w:style w:type="paragraph" w:styleId="Footer">
    <w:name w:val="footer"/>
    <w:basedOn w:val="Normal"/>
    <w:link w:val="FooterChar"/>
    <w:uiPriority w:val="99"/>
    <w:unhideWhenUsed/>
    <w:rsid w:val="008E3E75"/>
    <w:pPr>
      <w:tabs>
        <w:tab w:val="center" w:pos="4680"/>
        <w:tab w:val="right" w:pos="9360"/>
      </w:tabs>
    </w:pPr>
  </w:style>
  <w:style w:type="character" w:customStyle="1" w:styleId="FooterChar">
    <w:name w:val="Footer Char"/>
    <w:basedOn w:val="DefaultParagraphFont"/>
    <w:link w:val="Footer"/>
    <w:uiPriority w:val="99"/>
    <w:rsid w:val="008E3E75"/>
  </w:style>
  <w:style w:type="paragraph" w:styleId="NoSpacing">
    <w:name w:val="No Spacing"/>
    <w:link w:val="NoSpacingChar"/>
    <w:uiPriority w:val="1"/>
    <w:qFormat/>
    <w:rsid w:val="00DE0C52"/>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DE0C52"/>
    <w:rPr>
      <w:rFonts w:asciiTheme="minorHAnsi" w:eastAsiaTheme="minorEastAsia" w:hAnsiTheme="minorHAnsi" w:cstheme="minorBidi"/>
      <w:sz w:val="22"/>
      <w:szCs w:val="22"/>
    </w:rPr>
  </w:style>
  <w:style w:type="character" w:customStyle="1" w:styleId="Heading1Char">
    <w:name w:val="Heading 1 Char"/>
    <w:basedOn w:val="DefaultParagraphFont"/>
    <w:link w:val="Heading1"/>
    <w:uiPriority w:val="9"/>
    <w:rsid w:val="00CA4B28"/>
    <w:rPr>
      <w:b/>
      <w:bCs/>
      <w:color w:val="1A1A1A"/>
      <w:sz w:val="36"/>
      <w:szCs w:val="36"/>
    </w:rPr>
  </w:style>
  <w:style w:type="character" w:customStyle="1" w:styleId="Heading2Char">
    <w:name w:val="Heading 2 Char"/>
    <w:basedOn w:val="DefaultParagraphFont"/>
    <w:link w:val="Heading2"/>
    <w:uiPriority w:val="9"/>
    <w:rsid w:val="00CA4B28"/>
    <w:rPr>
      <w:b/>
      <w:bCs/>
      <w:color w:val="1A1A1A"/>
      <w:sz w:val="28"/>
      <w:szCs w:val="28"/>
    </w:rPr>
  </w:style>
  <w:style w:type="paragraph" w:styleId="TOCHeading">
    <w:name w:val="TOC Heading"/>
    <w:basedOn w:val="Heading1"/>
    <w:next w:val="Normal"/>
    <w:uiPriority w:val="39"/>
    <w:unhideWhenUsed/>
    <w:qFormat/>
    <w:rsid w:val="007F7920"/>
    <w:pPr>
      <w:keepNext/>
      <w:keepLines/>
      <w:spacing w:before="240" w:after="0" w:line="259" w:lineRule="auto"/>
      <w:outlineLvl w:val="9"/>
    </w:pPr>
    <w:rPr>
      <w:rFonts w:asciiTheme="majorHAnsi" w:eastAsiaTheme="majorEastAsia" w:hAnsiTheme="majorHAnsi" w:cstheme="majorBidi"/>
      <w:b w:val="0"/>
      <w:bCs w:val="0"/>
      <w:color w:val="0F4761" w:themeColor="accent1" w:themeShade="BF"/>
      <w:sz w:val="32"/>
      <w:szCs w:val="32"/>
    </w:rPr>
  </w:style>
  <w:style w:type="paragraph" w:styleId="TOC1">
    <w:name w:val="toc 1"/>
    <w:basedOn w:val="Normal"/>
    <w:next w:val="Normal"/>
    <w:autoRedefine/>
    <w:uiPriority w:val="39"/>
    <w:unhideWhenUsed/>
    <w:rsid w:val="007F7920"/>
    <w:pPr>
      <w:spacing w:after="100"/>
    </w:pPr>
  </w:style>
  <w:style w:type="paragraph" w:styleId="TOC2">
    <w:name w:val="toc 2"/>
    <w:basedOn w:val="Normal"/>
    <w:next w:val="Normal"/>
    <w:autoRedefine/>
    <w:uiPriority w:val="39"/>
    <w:unhideWhenUsed/>
    <w:rsid w:val="007F7920"/>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Relationships xmlns="http://schemas.openxmlformats.org/package/2006/relationships"><Relationship Id="rId1" Type="http://schemas.openxmlformats.org/officeDocument/2006/relationships/customXmlProps" Target="itemProps1.xml"/></Relationships>
</file>

<file path=customXml/_rels/item2.xml.rels><?xml version="1.0" encoding="UTF-8"?><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2026-04-28T00:00:00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8576BD3-F755-467C-8FE9-B05D1634B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176</Pages>
  <Words>84835</Words>
  <Characters>483562</Characters>
  <Application>Microsoft Office Word</Application>
  <DocSecurity>0</DocSecurity>
  <Lines>4029</Lines>
  <Paragraphs>1134</Paragraphs>
  <ScaleCrop>false</ScaleCrop>
  <Company/>
  <LinksUpToDate>false</LinksUpToDate>
  <CharactersWithSpaces>567263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ethics of god</dc:title>
  <dc:subject>relational, situational, reflective and personal</dc:subject>
  <dc:creator>daniel williams</dc:creator>
  <cp:lastModifiedBy>Daniel Williams</cp:lastModifiedBy>
  <cp:revision>21</cp:revision>
  <dcterms:created xsi:type="dcterms:W3CDTF">2026-04-28T11:34:00Z</dcterms:created>
  <dcterms:modified xsi:type="dcterms:W3CDTF">2026-04-29T13:17:00Z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8c0d9c5a-bee2-402e-9c4a-450d7e2c12da</vt:lpwstr>
  </property>
</Properties>
</file>